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3267" w:rsidP="5CCBF334" w:rsidRDefault="6F2975B9" w14:paraId="19DED6FE" w14:textId="779F9322">
      <w:pPr>
        <w:spacing w:after="0" w:line="259" w:lineRule="auto"/>
        <w:ind w:left="0" w:firstLine="0"/>
        <w:jc w:val="right"/>
      </w:pPr>
      <w:r>
        <w:rPr>
          <w:noProof/>
        </w:rPr>
        <w:drawing>
          <wp:inline distT="0" distB="0" distL="0" distR="0" wp14:anchorId="13878DD0" wp14:editId="1E438584">
            <wp:extent cx="1838325" cy="600075"/>
            <wp:effectExtent l="0" t="0" r="0" b="0"/>
            <wp:docPr id="1720126046" name="Picture 1720126046"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38325" cy="600075"/>
                    </a:xfrm>
                    <a:prstGeom prst="rect">
                      <a:avLst/>
                    </a:prstGeom>
                  </pic:spPr>
                </pic:pic>
              </a:graphicData>
            </a:graphic>
          </wp:inline>
        </w:drawing>
      </w:r>
      <w:r w:rsidR="00C73267">
        <w:br/>
      </w:r>
    </w:p>
    <w:p w:rsidR="00C73267" w:rsidP="00C73267" w:rsidRDefault="00C73267" w14:paraId="648EA6B6" w14:textId="77777777">
      <w:pPr>
        <w:spacing w:after="0" w:line="259" w:lineRule="auto"/>
        <w:ind w:left="0" w:firstLine="0"/>
        <w:jc w:val="right"/>
        <w:rPr>
          <w:rFonts w:asciiTheme="minorHAnsi" w:hAnsiTheme="minorHAnsi" w:cstheme="minorHAnsi"/>
          <w:b/>
          <w:sz w:val="24"/>
          <w:szCs w:val="24"/>
        </w:rPr>
      </w:pPr>
    </w:p>
    <w:p w:rsidR="009033A4" w:rsidP="57C076C9" w:rsidRDefault="002F2939" w14:paraId="518D2457" w14:textId="19192DF1">
      <w:pPr>
        <w:spacing w:after="0" w:line="259" w:lineRule="auto"/>
        <w:ind w:left="0" w:firstLine="0"/>
        <w:jc w:val="center"/>
        <w:rPr>
          <w:rFonts w:asciiTheme="minorHAnsi" w:hAnsiTheme="minorHAnsi" w:cstheme="minorBidi"/>
          <w:b/>
          <w:bCs/>
          <w:sz w:val="24"/>
          <w:szCs w:val="24"/>
        </w:rPr>
      </w:pPr>
      <w:r w:rsidRPr="57C076C9">
        <w:rPr>
          <w:rFonts w:asciiTheme="minorHAnsi" w:hAnsiTheme="minorHAnsi" w:cstheme="minorBidi"/>
          <w:b/>
          <w:bCs/>
          <w:sz w:val="24"/>
          <w:szCs w:val="24"/>
        </w:rPr>
        <w:t>Newcastle University Postgraduate Applicant Deposit Refund Policy</w:t>
      </w:r>
      <w:r w:rsidRPr="57C076C9" w:rsidR="00AF44AD">
        <w:rPr>
          <w:rFonts w:asciiTheme="minorHAnsi" w:hAnsiTheme="minorHAnsi" w:cstheme="minorBidi"/>
          <w:b/>
          <w:bCs/>
          <w:sz w:val="24"/>
          <w:szCs w:val="24"/>
        </w:rPr>
        <w:t xml:space="preserve"> 202</w:t>
      </w:r>
      <w:r w:rsidRPr="57C076C9" w:rsidR="463EE43F">
        <w:rPr>
          <w:rFonts w:asciiTheme="minorHAnsi" w:hAnsiTheme="minorHAnsi" w:cstheme="minorBidi"/>
          <w:b/>
          <w:bCs/>
          <w:sz w:val="24"/>
          <w:szCs w:val="24"/>
        </w:rPr>
        <w:t>4</w:t>
      </w:r>
      <w:r w:rsidRPr="57C076C9" w:rsidR="00AF44AD">
        <w:rPr>
          <w:rFonts w:asciiTheme="minorHAnsi" w:hAnsiTheme="minorHAnsi" w:cstheme="minorBidi"/>
          <w:b/>
          <w:bCs/>
          <w:sz w:val="24"/>
          <w:szCs w:val="24"/>
        </w:rPr>
        <w:t>/2</w:t>
      </w:r>
      <w:r w:rsidRPr="57C076C9" w:rsidR="4436629F">
        <w:rPr>
          <w:rFonts w:asciiTheme="minorHAnsi" w:hAnsiTheme="minorHAnsi" w:cstheme="minorBidi"/>
          <w:b/>
          <w:bCs/>
          <w:sz w:val="24"/>
          <w:szCs w:val="24"/>
        </w:rPr>
        <w:t>5</w:t>
      </w:r>
    </w:p>
    <w:p w:rsidRPr="00F578F2" w:rsidR="009033A4" w:rsidP="00F578F2" w:rsidRDefault="009033A4" w14:paraId="0ACE0D61" w14:textId="570E5049">
      <w:pPr>
        <w:spacing w:after="0" w:line="259" w:lineRule="auto"/>
        <w:ind w:left="0" w:firstLine="0"/>
        <w:jc w:val="both"/>
        <w:rPr>
          <w:rFonts w:asciiTheme="minorHAnsi" w:hAnsiTheme="minorHAnsi" w:cstheme="minorHAnsi"/>
          <w:sz w:val="24"/>
          <w:szCs w:val="24"/>
        </w:rPr>
      </w:pPr>
    </w:p>
    <w:p w:rsidRPr="006C66C5" w:rsidR="00C86855" w:rsidP="00C86855" w:rsidRDefault="006C66C5" w14:paraId="0EB246D2" w14:textId="7CEC9A60">
      <w:pPr>
        <w:pStyle w:val="ListParagraph"/>
        <w:numPr>
          <w:ilvl w:val="0"/>
          <w:numId w:val="3"/>
        </w:numPr>
        <w:jc w:val="both"/>
        <w:rPr>
          <w:rFonts w:asciiTheme="minorHAnsi" w:hAnsiTheme="minorHAnsi" w:cstheme="minorHAnsi"/>
          <w:b/>
          <w:bCs/>
          <w:sz w:val="24"/>
          <w:szCs w:val="24"/>
        </w:rPr>
      </w:pPr>
      <w:r w:rsidRPr="006C66C5">
        <w:rPr>
          <w:rFonts w:asciiTheme="minorHAnsi" w:hAnsiTheme="minorHAnsi" w:cstheme="minorHAnsi"/>
          <w:b/>
          <w:bCs/>
          <w:sz w:val="24"/>
          <w:szCs w:val="24"/>
        </w:rPr>
        <w:t xml:space="preserve">Deposit </w:t>
      </w:r>
      <w:proofErr w:type="gramStart"/>
      <w:r w:rsidRPr="006C66C5">
        <w:rPr>
          <w:rFonts w:asciiTheme="minorHAnsi" w:hAnsiTheme="minorHAnsi" w:cstheme="minorHAnsi"/>
          <w:b/>
          <w:bCs/>
          <w:sz w:val="24"/>
          <w:szCs w:val="24"/>
        </w:rPr>
        <w:t>refunds</w:t>
      </w:r>
      <w:proofErr w:type="gramEnd"/>
    </w:p>
    <w:p w:rsidRPr="00C86855" w:rsidR="009033A4" w:rsidP="00C86855" w:rsidRDefault="002F2939" w14:paraId="1DE406E0" w14:textId="2EC67639">
      <w:pPr>
        <w:jc w:val="both"/>
        <w:rPr>
          <w:rFonts w:asciiTheme="minorHAnsi" w:hAnsiTheme="minorHAnsi" w:cstheme="minorHAnsi"/>
          <w:sz w:val="24"/>
          <w:szCs w:val="24"/>
        </w:rPr>
      </w:pPr>
      <w:r w:rsidRPr="00C86855">
        <w:rPr>
          <w:rFonts w:asciiTheme="minorHAnsi" w:hAnsiTheme="minorHAnsi" w:cstheme="minorHAnsi"/>
          <w:sz w:val="24"/>
          <w:szCs w:val="24"/>
        </w:rPr>
        <w:t xml:space="preserve">Applicants are informed that it is a non-refundable deposit which will be deducted from their tuition fees at registration. A refund will only be authorised in the following circumstances:   </w:t>
      </w:r>
    </w:p>
    <w:p w:rsidRPr="00F578F2" w:rsidR="009033A4" w:rsidP="00F578F2" w:rsidRDefault="002F2939" w14:paraId="4FE88189" w14:textId="77777777">
      <w:pPr>
        <w:spacing w:after="0" w:line="259" w:lineRule="auto"/>
        <w:ind w:left="0" w:firstLine="0"/>
        <w:jc w:val="both"/>
        <w:rPr>
          <w:rFonts w:asciiTheme="minorHAnsi" w:hAnsiTheme="minorHAnsi" w:cstheme="minorHAnsi"/>
          <w:sz w:val="24"/>
          <w:szCs w:val="24"/>
        </w:rPr>
      </w:pPr>
      <w:r w:rsidRPr="00F578F2">
        <w:rPr>
          <w:rFonts w:asciiTheme="minorHAnsi" w:hAnsiTheme="minorHAnsi" w:cstheme="minorHAnsi"/>
          <w:sz w:val="24"/>
          <w:szCs w:val="24"/>
        </w:rPr>
        <w:t xml:space="preserve"> </w:t>
      </w:r>
    </w:p>
    <w:p w:rsidRPr="00F578F2" w:rsidR="009033A4" w:rsidP="00F578F2" w:rsidRDefault="002F2939" w14:paraId="25BE4D85" w14:textId="77777777">
      <w:pPr>
        <w:spacing w:after="0" w:line="259" w:lineRule="auto"/>
        <w:ind w:left="355"/>
        <w:jc w:val="both"/>
        <w:rPr>
          <w:rFonts w:asciiTheme="minorHAnsi" w:hAnsiTheme="minorHAnsi" w:cstheme="minorHAnsi"/>
          <w:sz w:val="24"/>
          <w:szCs w:val="24"/>
        </w:rPr>
      </w:pPr>
      <w:r w:rsidRPr="00F578F2">
        <w:rPr>
          <w:rFonts w:asciiTheme="minorHAnsi" w:hAnsiTheme="minorHAnsi" w:cstheme="minorHAnsi"/>
          <w:b/>
          <w:sz w:val="24"/>
          <w:szCs w:val="24"/>
        </w:rPr>
        <w:t xml:space="preserve">a. Within the </w:t>
      </w:r>
      <w:proofErr w:type="gramStart"/>
      <w:r w:rsidRPr="00F578F2">
        <w:rPr>
          <w:rFonts w:asciiTheme="minorHAnsi" w:hAnsiTheme="minorHAnsi" w:cstheme="minorHAnsi"/>
          <w:b/>
          <w:sz w:val="24"/>
          <w:szCs w:val="24"/>
        </w:rPr>
        <w:t>14 day</w:t>
      </w:r>
      <w:proofErr w:type="gramEnd"/>
      <w:r w:rsidRPr="00F578F2">
        <w:rPr>
          <w:rFonts w:asciiTheme="minorHAnsi" w:hAnsiTheme="minorHAnsi" w:cstheme="minorHAnsi"/>
          <w:b/>
          <w:sz w:val="24"/>
          <w:szCs w:val="24"/>
        </w:rPr>
        <w:t xml:space="preserve"> cooling-off period </w:t>
      </w:r>
    </w:p>
    <w:p w:rsidRPr="00F578F2" w:rsidR="009033A4" w:rsidP="00F578F2" w:rsidRDefault="002F2939" w14:paraId="10B0BE9C" w14:textId="77777777">
      <w:pPr>
        <w:ind w:left="715"/>
        <w:jc w:val="both"/>
        <w:rPr>
          <w:rFonts w:asciiTheme="minorHAnsi" w:hAnsiTheme="minorHAnsi" w:cstheme="minorHAnsi"/>
          <w:sz w:val="24"/>
          <w:szCs w:val="24"/>
        </w:rPr>
      </w:pPr>
      <w:r w:rsidRPr="00F578F2">
        <w:rPr>
          <w:rFonts w:asciiTheme="minorHAnsi" w:hAnsiTheme="minorHAnsi" w:cstheme="minorHAnsi"/>
          <w:sz w:val="24"/>
          <w:szCs w:val="24"/>
        </w:rPr>
        <w:t xml:space="preserve">If a refund is requested within 14 days of the payment being received by the University.   </w:t>
      </w:r>
    </w:p>
    <w:p w:rsidRPr="00F578F2" w:rsidR="009033A4" w:rsidP="16CDBCE6" w:rsidRDefault="002F2939" w14:paraId="678D3199" w14:textId="77777777">
      <w:pPr>
        <w:spacing w:after="0" w:line="259" w:lineRule="auto"/>
        <w:ind w:left="720" w:firstLine="0"/>
        <w:jc w:val="both"/>
        <w:rPr>
          <w:rFonts w:asciiTheme="minorHAnsi" w:hAnsiTheme="minorHAnsi" w:cstheme="minorBidi"/>
          <w:sz w:val="24"/>
          <w:szCs w:val="24"/>
        </w:rPr>
      </w:pPr>
      <w:r w:rsidRPr="16CDBCE6">
        <w:rPr>
          <w:rFonts w:asciiTheme="minorHAnsi" w:hAnsiTheme="minorHAnsi" w:cstheme="minorBidi"/>
          <w:sz w:val="24"/>
          <w:szCs w:val="24"/>
        </w:rPr>
        <w:t xml:space="preserve"> </w:t>
      </w:r>
    </w:p>
    <w:p w:rsidRPr="006F1DF5" w:rsidR="009033A4" w:rsidP="16CDBCE6" w:rsidRDefault="002F2939" w14:paraId="2EB4AD00" w14:textId="77777777">
      <w:pPr>
        <w:pStyle w:val="Heading1"/>
        <w:ind w:left="355"/>
        <w:jc w:val="both"/>
        <w:rPr>
          <w:rFonts w:asciiTheme="minorHAnsi" w:hAnsiTheme="minorHAnsi" w:cstheme="minorBidi"/>
          <w:sz w:val="24"/>
          <w:szCs w:val="24"/>
        </w:rPr>
      </w:pPr>
      <w:r w:rsidRPr="16CDBCE6">
        <w:rPr>
          <w:rFonts w:asciiTheme="minorHAnsi" w:hAnsiTheme="minorHAnsi" w:cstheme="minorBidi"/>
          <w:sz w:val="24"/>
          <w:szCs w:val="24"/>
        </w:rPr>
        <w:t xml:space="preserve">b. The applicant does not meet the conditions of their </w:t>
      </w:r>
      <w:proofErr w:type="gramStart"/>
      <w:r w:rsidRPr="16CDBCE6">
        <w:rPr>
          <w:rFonts w:asciiTheme="minorHAnsi" w:hAnsiTheme="minorHAnsi" w:cstheme="minorBidi"/>
          <w:sz w:val="24"/>
          <w:szCs w:val="24"/>
        </w:rPr>
        <w:t>offer</w:t>
      </w:r>
      <w:proofErr w:type="gramEnd"/>
      <w:r w:rsidRPr="16CDBCE6">
        <w:rPr>
          <w:rFonts w:asciiTheme="minorHAnsi" w:hAnsiTheme="minorHAnsi" w:cstheme="minorBidi"/>
          <w:sz w:val="24"/>
          <w:szCs w:val="24"/>
        </w:rPr>
        <w:t xml:space="preserve"> </w:t>
      </w:r>
    </w:p>
    <w:p w:rsidRPr="00F578F2" w:rsidR="009033A4" w:rsidP="16CDBCE6" w:rsidRDefault="002F2939" w14:paraId="645D9A7C" w14:textId="77777777">
      <w:pPr>
        <w:ind w:left="715"/>
        <w:jc w:val="both"/>
        <w:rPr>
          <w:rFonts w:asciiTheme="minorHAnsi" w:hAnsiTheme="minorHAnsi" w:cstheme="minorBidi"/>
          <w:sz w:val="24"/>
          <w:szCs w:val="24"/>
        </w:rPr>
      </w:pPr>
      <w:r w:rsidRPr="16CDBCE6">
        <w:rPr>
          <w:rFonts w:asciiTheme="minorHAnsi" w:hAnsiTheme="minorHAnsi" w:cstheme="minorBidi"/>
          <w:sz w:val="24"/>
          <w:szCs w:val="24"/>
        </w:rPr>
        <w:t xml:space="preserve">If the applicant does not meet the academic conditions of their offer and receives a reject decision from the University. The applicant must provide a transcript of English language certificate demonstrating that they have made a genuine attempt to meet the conditions of their offer after the conditional offer was made. </w:t>
      </w:r>
    </w:p>
    <w:p w:rsidRPr="00F578F2" w:rsidR="009033A4" w:rsidP="16CDBCE6" w:rsidRDefault="002F2939" w14:paraId="75FC7DCE" w14:textId="77777777">
      <w:pPr>
        <w:spacing w:after="0" w:line="259" w:lineRule="auto"/>
        <w:ind w:left="720" w:firstLine="0"/>
        <w:jc w:val="both"/>
        <w:rPr>
          <w:rFonts w:asciiTheme="minorHAnsi" w:hAnsiTheme="minorHAnsi" w:cstheme="minorBidi"/>
          <w:sz w:val="24"/>
          <w:szCs w:val="24"/>
        </w:rPr>
      </w:pPr>
      <w:r w:rsidRPr="16CDBCE6">
        <w:rPr>
          <w:rFonts w:asciiTheme="minorHAnsi" w:hAnsiTheme="minorHAnsi" w:cstheme="minorBidi"/>
          <w:sz w:val="24"/>
          <w:szCs w:val="24"/>
        </w:rPr>
        <w:t xml:space="preserve"> </w:t>
      </w:r>
    </w:p>
    <w:p w:rsidRPr="00A84499" w:rsidR="009033A4" w:rsidP="57C076C9" w:rsidRDefault="002F2939" w14:paraId="72734437" w14:textId="77777777">
      <w:pPr>
        <w:pStyle w:val="Heading1"/>
        <w:ind w:left="355"/>
        <w:jc w:val="both"/>
        <w:rPr>
          <w:rFonts w:asciiTheme="minorHAnsi" w:hAnsiTheme="minorHAnsi" w:cstheme="minorBidi"/>
          <w:sz w:val="24"/>
          <w:szCs w:val="24"/>
        </w:rPr>
      </w:pPr>
      <w:r w:rsidRPr="57C076C9">
        <w:rPr>
          <w:rFonts w:asciiTheme="minorHAnsi" w:hAnsiTheme="minorHAnsi" w:cstheme="minorBidi"/>
          <w:sz w:val="24"/>
          <w:szCs w:val="24"/>
        </w:rPr>
        <w:t xml:space="preserve">c. The applicant’s visa is </w:t>
      </w:r>
      <w:proofErr w:type="gramStart"/>
      <w:r w:rsidRPr="57C076C9">
        <w:rPr>
          <w:rFonts w:asciiTheme="minorHAnsi" w:hAnsiTheme="minorHAnsi" w:cstheme="minorBidi"/>
          <w:sz w:val="24"/>
          <w:szCs w:val="24"/>
        </w:rPr>
        <w:t>refused</w:t>
      </w:r>
      <w:proofErr w:type="gramEnd"/>
      <w:r w:rsidRPr="57C076C9">
        <w:rPr>
          <w:rFonts w:asciiTheme="minorHAnsi" w:hAnsiTheme="minorHAnsi" w:cstheme="minorBidi"/>
          <w:sz w:val="24"/>
          <w:szCs w:val="24"/>
        </w:rPr>
        <w:t xml:space="preserve"> </w:t>
      </w:r>
    </w:p>
    <w:p w:rsidRPr="00F578F2" w:rsidR="009033A4" w:rsidP="57C076C9" w:rsidRDefault="529B84BC" w14:paraId="4B0CDFE6" w14:textId="28AE6787">
      <w:pPr>
        <w:ind w:left="715"/>
        <w:jc w:val="both"/>
        <w:rPr>
          <w:rFonts w:asciiTheme="minorHAnsi" w:hAnsiTheme="minorHAnsi" w:eastAsiaTheme="minorEastAsia" w:cstheme="minorBidi"/>
          <w:sz w:val="24"/>
          <w:szCs w:val="24"/>
        </w:rPr>
      </w:pPr>
      <w:r w:rsidRPr="57C076C9">
        <w:rPr>
          <w:rFonts w:asciiTheme="minorHAnsi" w:hAnsiTheme="minorHAnsi" w:eastAsiaTheme="minorEastAsia" w:cstheme="minorBidi"/>
          <w:color w:val="333333"/>
          <w:sz w:val="24"/>
          <w:szCs w:val="24"/>
        </w:rPr>
        <w:t>Where the visa application has been refused or rejected by UKVI</w:t>
      </w:r>
      <w:r w:rsidRPr="57C076C9" w:rsidR="002D4B5B">
        <w:rPr>
          <w:rFonts w:asciiTheme="minorHAnsi" w:hAnsiTheme="minorHAnsi" w:eastAsiaTheme="minorEastAsia" w:cstheme="minorBidi"/>
          <w:color w:val="333333"/>
          <w:sz w:val="24"/>
          <w:szCs w:val="24"/>
        </w:rPr>
        <w:t>, y</w:t>
      </w:r>
      <w:r w:rsidRPr="57C076C9">
        <w:rPr>
          <w:rFonts w:asciiTheme="minorHAnsi" w:hAnsiTheme="minorHAnsi" w:eastAsiaTheme="minorEastAsia" w:cstheme="minorBidi"/>
          <w:color w:val="333333"/>
          <w:sz w:val="24"/>
          <w:szCs w:val="24"/>
        </w:rPr>
        <w:t xml:space="preserve">ou will be required to send a copy of the complete visa refusal documentation you have received from UKVI. Please note we will not refund a deposit paid in the case of visa refusals which were made </w:t>
      </w:r>
      <w:proofErr w:type="gramStart"/>
      <w:r w:rsidRPr="57C076C9">
        <w:rPr>
          <w:rFonts w:asciiTheme="minorHAnsi" w:hAnsiTheme="minorHAnsi" w:eastAsiaTheme="minorEastAsia" w:cstheme="minorBidi"/>
          <w:color w:val="333333"/>
          <w:sz w:val="24"/>
          <w:szCs w:val="24"/>
        </w:rPr>
        <w:t>on the basis of</w:t>
      </w:r>
      <w:proofErr w:type="gramEnd"/>
      <w:r w:rsidRPr="57C076C9">
        <w:rPr>
          <w:rFonts w:asciiTheme="minorHAnsi" w:hAnsiTheme="minorHAnsi" w:eastAsiaTheme="minorEastAsia" w:cstheme="minorBidi"/>
          <w:color w:val="333333"/>
          <w:sz w:val="24"/>
          <w:szCs w:val="24"/>
        </w:rPr>
        <w:t xml:space="preserve"> fraudulent documents or misleading information.</w:t>
      </w:r>
    </w:p>
    <w:p w:rsidRPr="00F578F2" w:rsidR="009033A4" w:rsidP="00F578F2" w:rsidRDefault="002F2939" w14:paraId="47F66660" w14:textId="77777777">
      <w:pPr>
        <w:spacing w:after="0" w:line="259" w:lineRule="auto"/>
        <w:ind w:left="720" w:firstLine="0"/>
        <w:jc w:val="both"/>
        <w:rPr>
          <w:rFonts w:asciiTheme="minorHAnsi" w:hAnsiTheme="minorHAnsi" w:cstheme="minorHAnsi"/>
          <w:sz w:val="24"/>
          <w:szCs w:val="24"/>
        </w:rPr>
      </w:pPr>
      <w:r w:rsidRPr="00F578F2">
        <w:rPr>
          <w:rFonts w:asciiTheme="minorHAnsi" w:hAnsiTheme="minorHAnsi" w:cstheme="minorHAnsi"/>
          <w:sz w:val="24"/>
          <w:szCs w:val="24"/>
        </w:rPr>
        <w:t xml:space="preserve"> </w:t>
      </w:r>
    </w:p>
    <w:p w:rsidRPr="00F578F2" w:rsidR="009033A4" w:rsidP="00F578F2" w:rsidRDefault="002F2939" w14:paraId="52C25953" w14:textId="77777777">
      <w:pPr>
        <w:pStyle w:val="Heading1"/>
        <w:ind w:left="355"/>
        <w:jc w:val="both"/>
        <w:rPr>
          <w:rFonts w:asciiTheme="minorHAnsi" w:hAnsiTheme="minorHAnsi" w:cstheme="minorHAnsi"/>
          <w:sz w:val="24"/>
          <w:szCs w:val="24"/>
        </w:rPr>
      </w:pPr>
      <w:r w:rsidRPr="00F578F2">
        <w:rPr>
          <w:rFonts w:asciiTheme="minorHAnsi" w:hAnsiTheme="minorHAnsi" w:cstheme="minorHAnsi"/>
          <w:sz w:val="24"/>
          <w:szCs w:val="24"/>
        </w:rPr>
        <w:t xml:space="preserve">d. The applicant’s ATAS clearance is </w:t>
      </w:r>
      <w:proofErr w:type="gramStart"/>
      <w:r w:rsidRPr="00F578F2">
        <w:rPr>
          <w:rFonts w:asciiTheme="minorHAnsi" w:hAnsiTheme="minorHAnsi" w:cstheme="minorHAnsi"/>
          <w:sz w:val="24"/>
          <w:szCs w:val="24"/>
        </w:rPr>
        <w:t>refused</w:t>
      </w:r>
      <w:proofErr w:type="gramEnd"/>
      <w:r w:rsidRPr="00F578F2">
        <w:rPr>
          <w:rFonts w:asciiTheme="minorHAnsi" w:hAnsiTheme="minorHAnsi" w:cstheme="minorHAnsi"/>
          <w:sz w:val="24"/>
          <w:szCs w:val="24"/>
        </w:rPr>
        <w:t xml:space="preserve"> </w:t>
      </w:r>
    </w:p>
    <w:p w:rsidRPr="00F578F2" w:rsidR="009033A4" w:rsidP="00F578F2" w:rsidRDefault="002F2939" w14:paraId="04E9A6F0" w14:textId="77777777">
      <w:pPr>
        <w:ind w:left="715"/>
        <w:jc w:val="both"/>
        <w:rPr>
          <w:rFonts w:asciiTheme="minorHAnsi" w:hAnsiTheme="minorHAnsi" w:cstheme="minorHAnsi"/>
          <w:sz w:val="24"/>
          <w:szCs w:val="24"/>
        </w:rPr>
      </w:pPr>
      <w:r w:rsidRPr="00F578F2">
        <w:rPr>
          <w:rFonts w:asciiTheme="minorHAnsi" w:hAnsiTheme="minorHAnsi" w:cstheme="minorHAnsi"/>
          <w:sz w:val="24"/>
          <w:szCs w:val="24"/>
        </w:rPr>
        <w:t xml:space="preserve">Where an applicant’s ATAS clearance was refused or rejected. A copy of the ATAS refusal notice must be provided. </w:t>
      </w:r>
    </w:p>
    <w:p w:rsidRPr="00F578F2" w:rsidR="009033A4" w:rsidP="00F578F2" w:rsidRDefault="002F2939" w14:paraId="12B5FA3D" w14:textId="77777777">
      <w:pPr>
        <w:spacing w:after="0" w:line="259" w:lineRule="auto"/>
        <w:ind w:left="720" w:firstLine="0"/>
        <w:jc w:val="both"/>
        <w:rPr>
          <w:rFonts w:asciiTheme="minorHAnsi" w:hAnsiTheme="minorHAnsi" w:cstheme="minorHAnsi"/>
          <w:sz w:val="24"/>
          <w:szCs w:val="24"/>
        </w:rPr>
      </w:pPr>
      <w:r w:rsidRPr="00F578F2">
        <w:rPr>
          <w:rFonts w:asciiTheme="minorHAnsi" w:hAnsiTheme="minorHAnsi" w:cstheme="minorHAnsi"/>
          <w:sz w:val="24"/>
          <w:szCs w:val="24"/>
        </w:rPr>
        <w:t xml:space="preserve"> </w:t>
      </w:r>
    </w:p>
    <w:p w:rsidRPr="00F578F2" w:rsidR="009033A4" w:rsidP="00F578F2" w:rsidRDefault="002F2939" w14:paraId="6A4DC0B6" w14:textId="1BD5E355">
      <w:pPr>
        <w:pStyle w:val="Heading1"/>
        <w:ind w:left="355"/>
        <w:jc w:val="both"/>
        <w:rPr>
          <w:rFonts w:asciiTheme="minorHAnsi" w:hAnsiTheme="minorHAnsi" w:cstheme="minorHAnsi"/>
          <w:sz w:val="24"/>
          <w:szCs w:val="24"/>
        </w:rPr>
      </w:pPr>
      <w:r w:rsidRPr="00F578F2">
        <w:rPr>
          <w:rFonts w:asciiTheme="minorHAnsi" w:hAnsiTheme="minorHAnsi" w:cstheme="minorHAnsi"/>
          <w:sz w:val="24"/>
          <w:szCs w:val="24"/>
        </w:rPr>
        <w:t xml:space="preserve">e. </w:t>
      </w:r>
      <w:r w:rsidR="00C06884">
        <w:rPr>
          <w:rFonts w:asciiTheme="minorHAnsi" w:hAnsiTheme="minorHAnsi" w:cstheme="minorHAnsi"/>
          <w:sz w:val="24"/>
          <w:szCs w:val="24"/>
        </w:rPr>
        <w:t>T</w:t>
      </w:r>
      <w:r w:rsidRPr="00F578F2">
        <w:rPr>
          <w:rFonts w:asciiTheme="minorHAnsi" w:hAnsiTheme="minorHAnsi" w:cstheme="minorHAnsi"/>
          <w:sz w:val="24"/>
          <w:szCs w:val="24"/>
        </w:rPr>
        <w:t xml:space="preserve">he University cancels the </w:t>
      </w:r>
      <w:proofErr w:type="gramStart"/>
      <w:r w:rsidRPr="00F578F2">
        <w:rPr>
          <w:rFonts w:asciiTheme="minorHAnsi" w:hAnsiTheme="minorHAnsi" w:cstheme="minorHAnsi"/>
          <w:sz w:val="24"/>
          <w:szCs w:val="24"/>
        </w:rPr>
        <w:t>programme</w:t>
      </w:r>
      <w:proofErr w:type="gramEnd"/>
      <w:r w:rsidRPr="00F578F2">
        <w:rPr>
          <w:rFonts w:asciiTheme="minorHAnsi" w:hAnsiTheme="minorHAnsi" w:cstheme="minorHAnsi"/>
          <w:sz w:val="24"/>
          <w:szCs w:val="24"/>
        </w:rPr>
        <w:t xml:space="preserve"> </w:t>
      </w:r>
    </w:p>
    <w:p w:rsidRPr="00F578F2" w:rsidR="009033A4" w:rsidP="00F578F2" w:rsidRDefault="002F2939" w14:paraId="43E6FC0E" w14:textId="77777777">
      <w:pPr>
        <w:ind w:left="715"/>
        <w:jc w:val="both"/>
        <w:rPr>
          <w:rFonts w:asciiTheme="minorHAnsi" w:hAnsiTheme="minorHAnsi" w:cstheme="minorHAnsi"/>
          <w:sz w:val="24"/>
          <w:szCs w:val="24"/>
        </w:rPr>
      </w:pPr>
      <w:r w:rsidRPr="00F578F2">
        <w:rPr>
          <w:rFonts w:asciiTheme="minorHAnsi" w:hAnsiTheme="minorHAnsi" w:cstheme="minorHAnsi"/>
          <w:sz w:val="24"/>
          <w:szCs w:val="24"/>
        </w:rPr>
        <w:t xml:space="preserve">If the University informs the applicant that the Postgraduate programme is not running that academic year.  </w:t>
      </w:r>
    </w:p>
    <w:p w:rsidRPr="00F578F2" w:rsidR="009033A4" w:rsidP="00F578F2" w:rsidRDefault="002F2939" w14:paraId="0F607B2F" w14:textId="77777777">
      <w:pPr>
        <w:spacing w:after="0" w:line="259" w:lineRule="auto"/>
        <w:ind w:left="720" w:firstLine="0"/>
        <w:jc w:val="both"/>
        <w:rPr>
          <w:rFonts w:asciiTheme="minorHAnsi" w:hAnsiTheme="minorHAnsi" w:cstheme="minorHAnsi"/>
          <w:sz w:val="24"/>
          <w:szCs w:val="24"/>
        </w:rPr>
      </w:pPr>
      <w:r w:rsidRPr="00F578F2">
        <w:rPr>
          <w:rFonts w:asciiTheme="minorHAnsi" w:hAnsiTheme="minorHAnsi" w:cstheme="minorHAnsi"/>
          <w:sz w:val="24"/>
          <w:szCs w:val="24"/>
        </w:rPr>
        <w:t xml:space="preserve"> </w:t>
      </w:r>
    </w:p>
    <w:p w:rsidRPr="00F578F2" w:rsidR="009033A4" w:rsidP="00F578F2" w:rsidRDefault="002F2939" w14:paraId="0362623D" w14:textId="77777777">
      <w:pPr>
        <w:pStyle w:val="Heading1"/>
        <w:ind w:left="355"/>
        <w:jc w:val="both"/>
        <w:rPr>
          <w:rFonts w:asciiTheme="minorHAnsi" w:hAnsiTheme="minorHAnsi" w:cstheme="minorHAnsi"/>
          <w:sz w:val="24"/>
          <w:szCs w:val="24"/>
        </w:rPr>
      </w:pPr>
      <w:r w:rsidRPr="00F578F2">
        <w:rPr>
          <w:rFonts w:asciiTheme="minorHAnsi" w:hAnsiTheme="minorHAnsi" w:cstheme="minorHAnsi"/>
          <w:sz w:val="24"/>
          <w:szCs w:val="24"/>
        </w:rPr>
        <w:t xml:space="preserve">f. Deferred Entry </w:t>
      </w:r>
    </w:p>
    <w:p w:rsidRPr="00F578F2" w:rsidR="009033A4" w:rsidP="00F578F2" w:rsidRDefault="002F2939" w14:paraId="705F7F6C" w14:textId="77777777">
      <w:pPr>
        <w:ind w:left="715"/>
        <w:jc w:val="both"/>
        <w:rPr>
          <w:rFonts w:asciiTheme="minorHAnsi" w:hAnsiTheme="minorHAnsi" w:cstheme="minorHAnsi"/>
          <w:sz w:val="24"/>
          <w:szCs w:val="24"/>
        </w:rPr>
      </w:pPr>
      <w:r w:rsidRPr="00F578F2">
        <w:rPr>
          <w:rFonts w:asciiTheme="minorHAnsi" w:hAnsiTheme="minorHAnsi" w:cstheme="minorHAnsi"/>
          <w:sz w:val="24"/>
          <w:szCs w:val="24"/>
        </w:rPr>
        <w:t xml:space="preserve">Where an applicant defers their offer after they have paid their deposit, the University will hold their deposit for the next year of entry. If the applicant wishes to defer for a further year, the deposit is forfeited. </w:t>
      </w:r>
    </w:p>
    <w:p w:rsidRPr="00F578F2" w:rsidR="009033A4" w:rsidP="00F578F2" w:rsidRDefault="002F2939" w14:paraId="1AA83418" w14:textId="77777777">
      <w:pPr>
        <w:spacing w:after="0" w:line="259" w:lineRule="auto"/>
        <w:ind w:left="720" w:firstLine="0"/>
        <w:jc w:val="both"/>
        <w:rPr>
          <w:rFonts w:asciiTheme="minorHAnsi" w:hAnsiTheme="minorHAnsi" w:cstheme="minorHAnsi"/>
          <w:sz w:val="24"/>
          <w:szCs w:val="24"/>
        </w:rPr>
      </w:pPr>
      <w:r w:rsidRPr="00F578F2">
        <w:rPr>
          <w:rFonts w:asciiTheme="minorHAnsi" w:hAnsiTheme="minorHAnsi" w:cstheme="minorHAnsi"/>
          <w:b/>
          <w:sz w:val="24"/>
          <w:szCs w:val="24"/>
        </w:rPr>
        <w:t xml:space="preserve"> </w:t>
      </w:r>
    </w:p>
    <w:p w:rsidRPr="00F578F2" w:rsidR="009033A4" w:rsidP="00F578F2" w:rsidRDefault="002F2939" w14:paraId="41E338E3" w14:textId="77777777">
      <w:pPr>
        <w:pStyle w:val="Heading1"/>
        <w:ind w:left="355"/>
        <w:jc w:val="both"/>
        <w:rPr>
          <w:rFonts w:asciiTheme="minorHAnsi" w:hAnsiTheme="minorHAnsi" w:cstheme="minorHAnsi"/>
          <w:sz w:val="24"/>
          <w:szCs w:val="24"/>
        </w:rPr>
      </w:pPr>
      <w:r w:rsidRPr="00F578F2">
        <w:rPr>
          <w:rFonts w:asciiTheme="minorHAnsi" w:hAnsiTheme="minorHAnsi" w:cstheme="minorHAnsi"/>
          <w:sz w:val="24"/>
          <w:szCs w:val="24"/>
        </w:rPr>
        <w:t xml:space="preserve">g. Exceptional circumstances </w:t>
      </w:r>
    </w:p>
    <w:p w:rsidR="00500A04" w:rsidP="005B23FA" w:rsidRDefault="002F2939" w14:paraId="406AF58F" w14:textId="77777777">
      <w:pPr>
        <w:ind w:left="715"/>
        <w:jc w:val="both"/>
        <w:rPr>
          <w:rFonts w:asciiTheme="minorHAnsi" w:hAnsiTheme="minorHAnsi" w:cstheme="minorBidi"/>
          <w:sz w:val="24"/>
          <w:szCs w:val="24"/>
        </w:rPr>
      </w:pPr>
      <w:r w:rsidRPr="28E59DDD">
        <w:rPr>
          <w:rFonts w:asciiTheme="minorHAnsi" w:hAnsiTheme="minorHAnsi" w:cstheme="minorBidi"/>
          <w:sz w:val="24"/>
          <w:szCs w:val="24"/>
        </w:rPr>
        <w:t>Where exceptional circumstances</w:t>
      </w:r>
      <w:r w:rsidRPr="28E59DDD" w:rsidR="00F578F2">
        <w:rPr>
          <w:rFonts w:asciiTheme="minorHAnsi" w:hAnsiTheme="minorHAnsi" w:cstheme="minorBidi"/>
          <w:sz w:val="24"/>
          <w:szCs w:val="24"/>
        </w:rPr>
        <w:t>,</w:t>
      </w:r>
      <w:r w:rsidRPr="28E59DDD">
        <w:rPr>
          <w:rFonts w:asciiTheme="minorHAnsi" w:hAnsiTheme="minorHAnsi" w:cstheme="minorBidi"/>
          <w:sz w:val="24"/>
          <w:szCs w:val="24"/>
        </w:rPr>
        <w:t xml:space="preserve"> </w:t>
      </w:r>
      <w:r w:rsidRPr="28E59DDD" w:rsidR="00F578F2">
        <w:rPr>
          <w:rFonts w:asciiTheme="minorHAnsi" w:hAnsiTheme="minorHAnsi" w:cstheme="minorBidi"/>
          <w:sz w:val="24"/>
          <w:szCs w:val="24"/>
        </w:rPr>
        <w:t xml:space="preserve">beyond the applicant’s control, </w:t>
      </w:r>
      <w:r w:rsidRPr="28E59DDD">
        <w:rPr>
          <w:rFonts w:asciiTheme="minorHAnsi" w:hAnsiTheme="minorHAnsi" w:cstheme="minorBidi"/>
          <w:sz w:val="24"/>
          <w:szCs w:val="24"/>
        </w:rPr>
        <w:t>prevent the applicant from commencing their studies e.g. serious illness, the University may exercise discretion to authorise a refund. Documentary evidence must be provided.</w:t>
      </w:r>
    </w:p>
    <w:p w:rsidR="43F2059B" w:rsidP="43F2059B" w:rsidRDefault="43F2059B" w14:paraId="28AC7F43" w14:textId="3BC70EE8">
      <w:pPr>
        <w:ind w:left="715"/>
        <w:jc w:val="both"/>
        <w:rPr>
          <w:rFonts w:asciiTheme="minorHAnsi" w:hAnsiTheme="minorHAnsi" w:cstheme="minorBidi"/>
          <w:sz w:val="24"/>
          <w:szCs w:val="24"/>
        </w:rPr>
      </w:pPr>
    </w:p>
    <w:p w:rsidR="009033A4" w:rsidP="00500A04" w:rsidRDefault="002F2939" w14:paraId="2D0E9419" w14:textId="1C2C4B22">
      <w:pPr>
        <w:spacing w:after="0" w:line="259" w:lineRule="auto"/>
        <w:ind w:left="0" w:firstLine="0"/>
        <w:jc w:val="both"/>
        <w:rPr>
          <w:rFonts w:asciiTheme="minorHAnsi" w:hAnsiTheme="minorHAnsi" w:cstheme="minorHAnsi"/>
          <w:sz w:val="24"/>
          <w:szCs w:val="24"/>
        </w:rPr>
      </w:pPr>
      <w:r w:rsidRPr="00F578F2">
        <w:rPr>
          <w:rFonts w:asciiTheme="minorHAnsi" w:hAnsiTheme="minorHAnsi" w:cstheme="minorHAnsi"/>
          <w:sz w:val="24"/>
          <w:szCs w:val="24"/>
        </w:rPr>
        <w:t xml:space="preserve">Where a refund is </w:t>
      </w:r>
      <w:proofErr w:type="gramStart"/>
      <w:r w:rsidRPr="00F578F2">
        <w:rPr>
          <w:rFonts w:asciiTheme="minorHAnsi" w:hAnsiTheme="minorHAnsi" w:cstheme="minorHAnsi"/>
          <w:sz w:val="24"/>
          <w:szCs w:val="24"/>
        </w:rPr>
        <w:t>authorised</w:t>
      </w:r>
      <w:proofErr w:type="gramEnd"/>
      <w:r w:rsidRPr="00F578F2">
        <w:rPr>
          <w:rFonts w:asciiTheme="minorHAnsi" w:hAnsiTheme="minorHAnsi" w:cstheme="minorHAnsi"/>
          <w:sz w:val="24"/>
          <w:szCs w:val="24"/>
        </w:rPr>
        <w:t xml:space="preserve"> the applicants offer and any CAS issued will be withdrawn and the UKVI notified accordingly. </w:t>
      </w:r>
    </w:p>
    <w:p w:rsidRPr="00F578F2" w:rsidR="00795FEF" w:rsidP="2439877C" w:rsidRDefault="00795FEF" w14:paraId="5BAB8654" w14:textId="77777777">
      <w:pPr>
        <w:spacing w:after="0" w:line="259" w:lineRule="auto"/>
        <w:ind w:left="0" w:firstLine="0"/>
        <w:jc w:val="both"/>
        <w:rPr>
          <w:rFonts w:asciiTheme="minorHAnsi" w:hAnsiTheme="minorHAnsi" w:cstheme="minorBidi"/>
          <w:sz w:val="24"/>
          <w:szCs w:val="24"/>
        </w:rPr>
      </w:pPr>
    </w:p>
    <w:p w:rsidR="5A861471" w:rsidP="57C076C9" w:rsidRDefault="5A861471" w14:paraId="49FDBB4E" w14:textId="755E2657">
      <w:pPr>
        <w:pStyle w:val="ListParagraph"/>
        <w:numPr>
          <w:ilvl w:val="0"/>
          <w:numId w:val="3"/>
        </w:numPr>
        <w:spacing w:after="0" w:line="259" w:lineRule="auto"/>
        <w:jc w:val="both"/>
        <w:rPr>
          <w:rFonts w:asciiTheme="minorHAnsi" w:hAnsiTheme="minorHAnsi" w:eastAsiaTheme="minorEastAsia" w:cstheme="minorBidi"/>
          <w:b/>
          <w:bCs/>
          <w:color w:val="000000" w:themeColor="text1"/>
          <w:sz w:val="24"/>
          <w:szCs w:val="24"/>
        </w:rPr>
      </w:pPr>
      <w:r w:rsidRPr="57C076C9">
        <w:rPr>
          <w:rFonts w:asciiTheme="minorHAnsi" w:hAnsiTheme="minorHAnsi" w:eastAsiaTheme="minorEastAsia" w:cstheme="minorBidi"/>
          <w:b/>
          <w:bCs/>
          <w:sz w:val="24"/>
          <w:szCs w:val="24"/>
        </w:rPr>
        <w:t>Fraudulent applications</w:t>
      </w:r>
    </w:p>
    <w:p w:rsidR="5A861471" w:rsidP="57C076C9" w:rsidRDefault="5A861471" w14:paraId="514B276C" w14:textId="39C3FD4E">
      <w:pPr>
        <w:spacing w:after="0" w:line="259" w:lineRule="auto"/>
        <w:ind w:left="0"/>
        <w:jc w:val="both"/>
        <w:rPr>
          <w:rFonts w:asciiTheme="minorHAnsi" w:hAnsiTheme="minorHAnsi" w:eastAsiaTheme="minorEastAsia" w:cstheme="minorBidi"/>
          <w:color w:val="000000" w:themeColor="text1"/>
          <w:sz w:val="24"/>
          <w:szCs w:val="24"/>
        </w:rPr>
      </w:pPr>
      <w:r w:rsidRPr="57C076C9">
        <w:rPr>
          <w:rFonts w:asciiTheme="minorHAnsi" w:hAnsiTheme="minorHAnsi" w:eastAsiaTheme="minorEastAsia" w:cstheme="minorBidi"/>
          <w:sz w:val="24"/>
          <w:szCs w:val="24"/>
        </w:rPr>
        <w:t>We reserve the right not to refund the deposit where we decide to withdraw an applicant’s offer due to evidence of fraudulent activity, plagiarism or omission in the application process or visa application process.</w:t>
      </w:r>
    </w:p>
    <w:p w:rsidR="2439877C" w:rsidP="2439877C" w:rsidRDefault="2439877C" w14:paraId="2FEBFCF2" w14:textId="3BCF261B">
      <w:pPr>
        <w:spacing w:after="0" w:line="259" w:lineRule="auto"/>
        <w:ind w:left="0"/>
        <w:jc w:val="both"/>
        <w:rPr>
          <w:color w:val="000000" w:themeColor="text1"/>
          <w:szCs w:val="21"/>
        </w:rPr>
      </w:pPr>
    </w:p>
    <w:p w:rsidRPr="00E10B7A" w:rsidR="009033A4" w:rsidP="00E10B7A" w:rsidRDefault="002F2939" w14:paraId="76669C70" w14:textId="14838611">
      <w:pPr>
        <w:pStyle w:val="ListParagraph"/>
        <w:numPr>
          <w:ilvl w:val="0"/>
          <w:numId w:val="3"/>
        </w:numPr>
        <w:spacing w:after="0" w:line="259" w:lineRule="auto"/>
        <w:jc w:val="both"/>
        <w:rPr>
          <w:rFonts w:asciiTheme="minorHAnsi" w:hAnsiTheme="minorHAnsi" w:cstheme="minorHAnsi"/>
          <w:b/>
          <w:bCs/>
          <w:sz w:val="24"/>
          <w:szCs w:val="24"/>
        </w:rPr>
      </w:pPr>
      <w:r w:rsidRPr="2439877C">
        <w:rPr>
          <w:rFonts w:asciiTheme="minorHAnsi" w:hAnsiTheme="minorHAnsi" w:cstheme="minorBidi"/>
          <w:b/>
          <w:bCs/>
          <w:sz w:val="24"/>
          <w:szCs w:val="24"/>
        </w:rPr>
        <w:t xml:space="preserve">Applying for a refund </w:t>
      </w:r>
    </w:p>
    <w:p w:rsidRPr="00F578F2" w:rsidR="009033A4" w:rsidP="5CCBF334" w:rsidRDefault="002F2939" w14:paraId="7B8CEAA9" w14:textId="7C8E3698">
      <w:pPr>
        <w:spacing w:after="0" w:line="259" w:lineRule="auto"/>
        <w:ind w:left="0" w:firstLine="0"/>
        <w:jc w:val="both"/>
        <w:rPr>
          <w:rFonts w:asciiTheme="minorHAnsi" w:hAnsiTheme="minorHAnsi" w:cstheme="minorBidi"/>
          <w:sz w:val="24"/>
          <w:szCs w:val="24"/>
        </w:rPr>
      </w:pPr>
      <w:r w:rsidRPr="5CCBF334">
        <w:rPr>
          <w:rFonts w:asciiTheme="minorHAnsi" w:hAnsiTheme="minorHAnsi" w:cstheme="minorBidi"/>
          <w:sz w:val="24"/>
          <w:szCs w:val="24"/>
        </w:rPr>
        <w:t xml:space="preserve">All refund requests must be submitted to </w:t>
      </w:r>
      <w:r w:rsidRPr="5CCBF334">
        <w:rPr>
          <w:rFonts w:asciiTheme="minorHAnsi" w:hAnsiTheme="minorHAnsi" w:cstheme="minorBidi"/>
          <w:color w:val="0563C0"/>
          <w:sz w:val="24"/>
          <w:szCs w:val="24"/>
          <w:u w:val="single"/>
        </w:rPr>
        <w:t>pgadmissions@ncl.ac.uk</w:t>
      </w:r>
      <w:r w:rsidRPr="5CCBF334">
        <w:rPr>
          <w:rFonts w:asciiTheme="minorHAnsi" w:hAnsiTheme="minorHAnsi" w:cstheme="minorBidi"/>
          <w:sz w:val="24"/>
          <w:szCs w:val="24"/>
        </w:rPr>
        <w:t xml:space="preserve"> </w:t>
      </w:r>
      <w:r w:rsidRPr="5CCBF334">
        <w:rPr>
          <w:rFonts w:asciiTheme="minorHAnsi" w:hAnsiTheme="minorHAnsi" w:cstheme="minorBidi"/>
          <w:b/>
          <w:bCs/>
          <w:sz w:val="24"/>
          <w:szCs w:val="24"/>
        </w:rPr>
        <w:t>by 31 October</w:t>
      </w:r>
      <w:r w:rsidRPr="5CCBF334">
        <w:rPr>
          <w:rFonts w:asciiTheme="minorHAnsi" w:hAnsiTheme="minorHAnsi" w:cstheme="minorBidi"/>
          <w:sz w:val="24"/>
          <w:szCs w:val="24"/>
        </w:rPr>
        <w:t xml:space="preserve"> of the year of entry providing documentary evidence where required. Refund requests received after this date may be considered at the University’s discretion. </w:t>
      </w:r>
    </w:p>
    <w:p w:rsidRPr="00F578F2" w:rsidR="009033A4" w:rsidP="00F578F2" w:rsidRDefault="002F2939" w14:paraId="68134449" w14:textId="77777777">
      <w:pPr>
        <w:spacing w:after="0" w:line="259" w:lineRule="auto"/>
        <w:ind w:left="0" w:firstLine="0"/>
        <w:jc w:val="both"/>
        <w:rPr>
          <w:rFonts w:asciiTheme="minorHAnsi" w:hAnsiTheme="minorHAnsi" w:cstheme="minorHAnsi"/>
          <w:sz w:val="24"/>
          <w:szCs w:val="24"/>
        </w:rPr>
      </w:pPr>
      <w:r w:rsidRPr="76610275">
        <w:rPr>
          <w:rFonts w:asciiTheme="minorHAnsi" w:hAnsiTheme="minorHAnsi" w:cstheme="minorBidi"/>
          <w:sz w:val="24"/>
          <w:szCs w:val="24"/>
        </w:rPr>
        <w:t xml:space="preserve"> </w:t>
      </w:r>
    </w:p>
    <w:p w:rsidR="00222BA5" w:rsidP="00222BA5" w:rsidRDefault="67815C0F" w14:paraId="64318B23" w14:textId="3937340D">
      <w:pPr>
        <w:spacing w:after="0" w:line="240" w:lineRule="auto"/>
        <w:ind w:left="0"/>
        <w:jc w:val="both"/>
        <w:rPr>
          <w:rFonts w:ascii="Calibri" w:hAnsi="Calibri" w:eastAsia="Calibri" w:cs="Calibri"/>
          <w:color w:val="000000" w:themeColor="text1"/>
          <w:sz w:val="24"/>
          <w:szCs w:val="24"/>
        </w:rPr>
      </w:pPr>
      <w:r w:rsidRPr="57C076C9">
        <w:rPr>
          <w:rFonts w:ascii="Calibri" w:hAnsi="Calibri" w:eastAsia="Calibri" w:cs="Calibri"/>
          <w:color w:val="000000" w:themeColor="text1"/>
          <w:sz w:val="24"/>
          <w:szCs w:val="24"/>
        </w:rPr>
        <w:t>The</w:t>
      </w:r>
      <w:r w:rsidRPr="57C076C9" w:rsidR="67C91BB3">
        <w:rPr>
          <w:rFonts w:ascii="Calibri" w:hAnsi="Calibri" w:eastAsia="Calibri" w:cs="Calibri"/>
          <w:color w:val="000000" w:themeColor="text1"/>
          <w:sz w:val="24"/>
          <w:szCs w:val="24"/>
        </w:rPr>
        <w:t xml:space="preserve"> </w:t>
      </w:r>
      <w:r w:rsidRPr="57C076C9">
        <w:rPr>
          <w:rFonts w:ascii="Calibri" w:hAnsi="Calibri" w:eastAsia="Calibri" w:cs="Calibri"/>
          <w:color w:val="000000" w:themeColor="text1"/>
          <w:sz w:val="24"/>
          <w:szCs w:val="24"/>
        </w:rPr>
        <w:t xml:space="preserve">University </w:t>
      </w:r>
      <w:r w:rsidRPr="57C076C9" w:rsidR="67C91BB3">
        <w:rPr>
          <w:rFonts w:ascii="Calibri" w:hAnsi="Calibri" w:eastAsia="Calibri" w:cs="Calibri"/>
          <w:color w:val="000000" w:themeColor="text1"/>
          <w:sz w:val="24"/>
          <w:szCs w:val="24"/>
        </w:rPr>
        <w:t>will begin issuing refunds from mid to late January.  Refunds will be returned via the same method and to the same person or third party as the original payment transaction.</w:t>
      </w:r>
    </w:p>
    <w:p w:rsidR="00E86F0A" w:rsidP="00F578F2" w:rsidRDefault="00E86F0A" w14:paraId="51431CB8" w14:textId="77777777">
      <w:pPr>
        <w:spacing w:after="0" w:line="259" w:lineRule="auto"/>
        <w:ind w:left="0" w:firstLine="0"/>
        <w:jc w:val="both"/>
        <w:rPr>
          <w:rFonts w:asciiTheme="minorHAnsi" w:hAnsiTheme="minorHAnsi" w:cstheme="minorHAnsi"/>
          <w:sz w:val="24"/>
          <w:szCs w:val="24"/>
        </w:rPr>
      </w:pPr>
    </w:p>
    <w:p w:rsidRPr="00E10B7A" w:rsidR="00E10B7A" w:rsidP="00E10B7A" w:rsidRDefault="00E10B7A" w14:paraId="69CEEA4B" w14:textId="77777777">
      <w:pPr>
        <w:pStyle w:val="paragraph"/>
        <w:numPr>
          <w:ilvl w:val="0"/>
          <w:numId w:val="3"/>
        </w:numPr>
        <w:spacing w:before="0" w:beforeAutospacing="0" w:after="0" w:afterAutospacing="0"/>
        <w:jc w:val="both"/>
        <w:textAlignment w:val="baseline"/>
        <w:rPr>
          <w:rStyle w:val="eop"/>
          <w:rFonts w:ascii="Calibri" w:hAnsi="Calibri" w:cs="Calibri"/>
          <w:b/>
          <w:bCs/>
        </w:rPr>
      </w:pPr>
      <w:r w:rsidRPr="00E10B7A">
        <w:rPr>
          <w:rStyle w:val="normaltextrun"/>
          <w:rFonts w:ascii="Calibri" w:hAnsi="Calibri" w:cs="Calibri"/>
          <w:b/>
          <w:bCs/>
          <w:color w:val="000000"/>
          <w:shd w:val="clear" w:color="auto" w:fill="FFFFFF"/>
        </w:rPr>
        <w:t>Queries about this Policy</w:t>
      </w:r>
      <w:r w:rsidRPr="00E10B7A">
        <w:rPr>
          <w:rStyle w:val="eop"/>
          <w:rFonts w:ascii="Calibri" w:hAnsi="Calibri" w:cs="Calibri"/>
          <w:b/>
          <w:bCs/>
          <w:color w:val="000000"/>
          <w:shd w:val="clear" w:color="auto" w:fill="FFFFFF"/>
        </w:rPr>
        <w:t> </w:t>
      </w:r>
    </w:p>
    <w:p w:rsidR="6C397688" w:rsidP="5CCBF334" w:rsidRDefault="00795FEF" w14:paraId="47A033A2" w14:textId="6EE40296">
      <w:pPr>
        <w:pStyle w:val="paragraph"/>
        <w:spacing w:before="0" w:beforeAutospacing="0" w:after="0" w:afterAutospacing="0" w:line="259" w:lineRule="auto"/>
        <w:jc w:val="both"/>
        <w:rPr>
          <w:rStyle w:val="eop"/>
          <w:rFonts w:ascii="Calibri" w:hAnsi="Calibri" w:cs="Calibri"/>
        </w:rPr>
      </w:pPr>
      <w:r w:rsidRPr="5CCBF334">
        <w:rPr>
          <w:rStyle w:val="normaltextrun"/>
          <w:rFonts w:ascii="Calibri" w:hAnsi="Calibri" w:eastAsia="Arial" w:cs="Calibri"/>
          <w:lang w:val="en-US"/>
        </w:rPr>
        <w:t xml:space="preserve">Any queries about the policy and procedures set out in this document should be directed to the Postgraduate Admissions Team: </w:t>
      </w:r>
      <w:hyperlink r:id="rId9">
        <w:r w:rsidRPr="5CCBF334">
          <w:rPr>
            <w:rStyle w:val="normaltextrun"/>
            <w:rFonts w:ascii="Calibri" w:hAnsi="Calibri" w:eastAsia="Arial" w:cs="Calibri"/>
            <w:color w:val="0000FF"/>
            <w:u w:val="single"/>
            <w:lang w:val="en-US"/>
          </w:rPr>
          <w:t>pg-admissions@newcastle.ac.uk</w:t>
        </w:r>
      </w:hyperlink>
      <w:r w:rsidRPr="5CCBF334">
        <w:rPr>
          <w:rStyle w:val="normaltextrun"/>
          <w:rFonts w:ascii="Calibri" w:hAnsi="Calibri" w:eastAsia="Arial" w:cs="Calibri"/>
          <w:lang w:val="en-US"/>
        </w:rPr>
        <w:t> </w:t>
      </w:r>
      <w:r w:rsidRPr="5CCBF334">
        <w:rPr>
          <w:rStyle w:val="eop"/>
          <w:rFonts w:ascii="Calibri" w:hAnsi="Calibri" w:cs="Calibri"/>
        </w:rPr>
        <w:t> </w:t>
      </w:r>
    </w:p>
    <w:p w:rsidR="6C397688" w:rsidP="6C397688" w:rsidRDefault="6C397688" w14:paraId="72C2A021" w14:textId="3A411B24">
      <w:pPr>
        <w:spacing w:after="0" w:line="259" w:lineRule="auto"/>
        <w:ind w:left="0" w:firstLine="0"/>
        <w:jc w:val="both"/>
        <w:rPr>
          <w:rFonts w:eastAsia="Calibri" w:asciiTheme="minorHAnsi" w:hAnsiTheme="minorHAnsi" w:cstheme="minorBidi"/>
          <w:sz w:val="24"/>
          <w:szCs w:val="24"/>
        </w:rPr>
      </w:pPr>
    </w:p>
    <w:p w:rsidR="6C397688" w:rsidP="6C397688" w:rsidRDefault="6C397688" w14:paraId="5E70C56B" w14:textId="23E7F280">
      <w:pPr>
        <w:spacing w:after="0" w:line="259" w:lineRule="auto"/>
        <w:ind w:left="0" w:firstLine="0"/>
        <w:jc w:val="both"/>
        <w:rPr>
          <w:rFonts w:eastAsia="Calibri" w:asciiTheme="minorHAnsi" w:hAnsiTheme="minorHAnsi" w:cstheme="minorBidi"/>
          <w:sz w:val="24"/>
          <w:szCs w:val="24"/>
        </w:rPr>
      </w:pPr>
    </w:p>
    <w:p w:rsidR="5AD84A5C" w:rsidP="6C397688" w:rsidRDefault="5AD84A5C" w14:paraId="53189453" w14:textId="57F4855C">
      <w:pPr>
        <w:jc w:val="both"/>
        <w:rPr>
          <w:rFonts w:asciiTheme="minorHAnsi" w:hAnsiTheme="minorHAnsi" w:eastAsiaTheme="minorEastAsia" w:cstheme="minorBidi"/>
          <w:color w:val="000000" w:themeColor="text1"/>
          <w:sz w:val="24"/>
          <w:szCs w:val="24"/>
        </w:rPr>
      </w:pPr>
      <w:r w:rsidRPr="609B736F" w:rsidR="5AD84A5C">
        <w:rPr>
          <w:rFonts w:ascii="Calibri" w:hAnsi="Calibri" w:eastAsia="" w:cs="" w:asciiTheme="minorAscii" w:hAnsiTheme="minorAscii" w:eastAsiaTheme="minorEastAsia" w:cstheme="minorBidi"/>
          <w:color w:val="000000" w:themeColor="text1" w:themeTint="FF" w:themeShade="FF"/>
          <w:sz w:val="24"/>
          <w:szCs w:val="24"/>
        </w:rPr>
        <w:t xml:space="preserve"> </w:t>
      </w:r>
    </w:p>
    <w:p w:rsidR="5AD84A5C" w:rsidP="609B736F" w:rsidRDefault="5AD84A5C" w14:paraId="52E037BF" w14:textId="5D984C52">
      <w:pPr>
        <w:spacing w:line="257" w:lineRule="auto"/>
        <w:ind w:left="0" w:hanging="0"/>
        <w:jc w:val="both"/>
        <w:rPr>
          <w:rFonts w:ascii="Calibri" w:hAnsi="Calibri" w:eastAsia="" w:cs="" w:asciiTheme="minorAscii" w:hAnsiTheme="minorAscii" w:eastAsiaTheme="minorEastAsia" w:cstheme="minorBidi"/>
          <w:b w:val="1"/>
          <w:bCs w:val="1"/>
          <w:sz w:val="24"/>
          <w:szCs w:val="24"/>
        </w:rPr>
      </w:pPr>
      <w:r w:rsidRPr="609B736F" w:rsidR="5AD84A5C">
        <w:rPr>
          <w:rFonts w:ascii="Calibri" w:hAnsi="Calibri" w:eastAsia="" w:cs="" w:asciiTheme="minorAscii" w:hAnsiTheme="minorAscii" w:eastAsiaTheme="minorEastAsia" w:cstheme="minorBidi"/>
          <w:b w:val="1"/>
          <w:bCs w:val="1"/>
          <w:sz w:val="24"/>
          <w:szCs w:val="24"/>
        </w:rPr>
        <w:t xml:space="preserve"> </w:t>
      </w:r>
    </w:p>
    <w:p w:rsidR="6C397688" w:rsidP="6C397688" w:rsidRDefault="6C397688" w14:paraId="2AF4A308" w14:textId="3B115EC5">
      <w:pPr>
        <w:spacing w:after="160" w:line="257" w:lineRule="auto"/>
        <w:jc w:val="both"/>
        <w:rPr>
          <w:rFonts w:asciiTheme="minorHAnsi" w:hAnsiTheme="minorHAnsi" w:eastAsiaTheme="minorEastAsia" w:cstheme="minorBidi"/>
          <w:color w:val="1F497D"/>
          <w:sz w:val="24"/>
          <w:szCs w:val="24"/>
        </w:rPr>
      </w:pPr>
    </w:p>
    <w:p w:rsidR="6C397688" w:rsidP="5CCBF334" w:rsidRDefault="6C397688" w14:paraId="3E9C6890" w14:textId="7CF99D08">
      <w:pPr>
        <w:spacing w:after="0" w:line="259" w:lineRule="auto"/>
        <w:ind w:left="0" w:firstLine="0"/>
        <w:jc w:val="both"/>
        <w:rPr>
          <w:rFonts w:eastAsia="Calibri" w:asciiTheme="minorHAnsi" w:hAnsiTheme="minorHAnsi" w:cstheme="minorBidi"/>
          <w:sz w:val="24"/>
          <w:szCs w:val="24"/>
        </w:rPr>
      </w:pPr>
    </w:p>
    <w:p w:rsidR="6C397688" w:rsidP="5CCBF334" w:rsidRDefault="4CA79D4F" w14:paraId="2E4BF2BF" w14:textId="61D4D79C">
      <w:pPr>
        <w:widowControl w:val="0"/>
        <w:spacing w:after="0" w:line="259" w:lineRule="auto"/>
        <w:rPr>
          <w:rFonts w:ascii="Calibri" w:hAnsi="Calibri" w:eastAsia="Calibri" w:cs="Calibri"/>
          <w:color w:val="000000" w:themeColor="text1"/>
          <w:sz w:val="24"/>
          <w:szCs w:val="24"/>
        </w:rPr>
      </w:pPr>
      <w:r w:rsidRPr="5CCBF334">
        <w:rPr>
          <w:rFonts w:ascii="Calibri" w:hAnsi="Calibri" w:eastAsia="Calibri" w:cs="Calibri"/>
          <w:b/>
          <w:bCs/>
          <w:color w:val="000000" w:themeColor="text1"/>
          <w:sz w:val="24"/>
          <w:szCs w:val="24"/>
        </w:rPr>
        <w:t>Document Control:</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393"/>
        <w:gridCol w:w="5562"/>
      </w:tblGrid>
      <w:tr w:rsidR="5CCBF334" w:rsidTr="11D2447F" w14:paraId="56BA394B" w14:textId="77777777">
        <w:trPr>
          <w:trHeight w:val="300"/>
        </w:trPr>
        <w:tc>
          <w:tcPr>
            <w:tcW w:w="3393" w:type="dxa"/>
            <w:tcBorders>
              <w:top w:val="single" w:color="auto" w:sz="6" w:space="0"/>
              <w:left w:val="single" w:color="auto" w:sz="6" w:space="0"/>
            </w:tcBorders>
            <w:tcMar>
              <w:left w:w="90" w:type="dxa"/>
              <w:right w:w="90" w:type="dxa"/>
            </w:tcMar>
          </w:tcPr>
          <w:p w:rsidR="5CCBF334" w:rsidP="5CCBF334" w:rsidRDefault="5CCBF334" w14:paraId="189C4B9A" w14:textId="5DF80DA0">
            <w:pPr>
              <w:widowControl w:val="0"/>
              <w:rPr>
                <w:rFonts w:ascii="Calibri" w:hAnsi="Calibri" w:eastAsia="Calibri" w:cs="Calibri"/>
                <w:sz w:val="24"/>
                <w:szCs w:val="24"/>
              </w:rPr>
            </w:pPr>
            <w:r w:rsidRPr="5CCBF334">
              <w:rPr>
                <w:rFonts w:ascii="Calibri" w:hAnsi="Calibri" w:eastAsia="Calibri" w:cs="Calibri"/>
                <w:sz w:val="24"/>
                <w:szCs w:val="24"/>
              </w:rPr>
              <w:t>Date approved:</w:t>
            </w:r>
          </w:p>
        </w:tc>
        <w:tc>
          <w:tcPr>
            <w:tcW w:w="5562" w:type="dxa"/>
            <w:tcBorders>
              <w:top w:val="single" w:color="auto" w:sz="6" w:space="0"/>
              <w:right w:val="single" w:color="auto" w:sz="6" w:space="0"/>
            </w:tcBorders>
            <w:tcMar>
              <w:left w:w="90" w:type="dxa"/>
              <w:right w:w="90" w:type="dxa"/>
            </w:tcMar>
          </w:tcPr>
          <w:p w:rsidR="5CCBF334" w:rsidP="5CCBF334" w:rsidRDefault="5CCBF334" w14:paraId="0D6DD700" w14:textId="1374B8D8">
            <w:pPr>
              <w:widowControl w:val="0"/>
              <w:rPr>
                <w:rFonts w:ascii="Calibri" w:hAnsi="Calibri" w:eastAsia="Calibri" w:cs="Calibri"/>
                <w:sz w:val="24"/>
                <w:szCs w:val="24"/>
              </w:rPr>
            </w:pPr>
            <w:r w:rsidRPr="5CCBF334">
              <w:rPr>
                <w:rFonts w:ascii="Calibri" w:hAnsi="Calibri" w:eastAsia="Calibri" w:cs="Calibri"/>
                <w:sz w:val="24"/>
                <w:szCs w:val="24"/>
              </w:rPr>
              <w:t>May 2024</w:t>
            </w:r>
          </w:p>
        </w:tc>
      </w:tr>
      <w:tr w:rsidR="5CCBF334" w:rsidTr="11D2447F" w14:paraId="5B388A17" w14:textId="77777777">
        <w:trPr>
          <w:trHeight w:val="300"/>
        </w:trPr>
        <w:tc>
          <w:tcPr>
            <w:tcW w:w="3393" w:type="dxa"/>
            <w:tcBorders>
              <w:left w:val="single" w:color="auto" w:sz="6" w:space="0"/>
            </w:tcBorders>
            <w:tcMar>
              <w:left w:w="90" w:type="dxa"/>
              <w:right w:w="90" w:type="dxa"/>
            </w:tcMar>
          </w:tcPr>
          <w:p w:rsidR="5CCBF334" w:rsidP="5CCBF334" w:rsidRDefault="5CCBF334" w14:paraId="0B69FE6A" w14:textId="6814F073">
            <w:pPr>
              <w:widowControl w:val="0"/>
              <w:rPr>
                <w:rFonts w:ascii="Calibri" w:hAnsi="Calibri" w:eastAsia="Calibri" w:cs="Calibri"/>
                <w:sz w:val="24"/>
                <w:szCs w:val="24"/>
              </w:rPr>
            </w:pPr>
            <w:r w:rsidRPr="5CCBF334">
              <w:rPr>
                <w:rFonts w:ascii="Calibri" w:hAnsi="Calibri" w:eastAsia="Calibri" w:cs="Calibri"/>
                <w:sz w:val="24"/>
                <w:szCs w:val="24"/>
              </w:rPr>
              <w:t>Approving body:</w:t>
            </w:r>
          </w:p>
        </w:tc>
        <w:tc>
          <w:tcPr>
            <w:tcW w:w="5562" w:type="dxa"/>
            <w:tcBorders>
              <w:right w:val="single" w:color="auto" w:sz="6" w:space="0"/>
            </w:tcBorders>
            <w:tcMar>
              <w:left w:w="90" w:type="dxa"/>
              <w:right w:w="90" w:type="dxa"/>
            </w:tcMar>
          </w:tcPr>
          <w:p w:rsidR="5CCBF334" w:rsidP="5CCBF334" w:rsidRDefault="5CCBF334" w14:paraId="589FBED3" w14:textId="22D933EE">
            <w:pPr>
              <w:widowControl w:val="0"/>
              <w:rPr>
                <w:rFonts w:ascii="Calibri" w:hAnsi="Calibri" w:eastAsia="Calibri" w:cs="Calibri"/>
                <w:sz w:val="24"/>
                <w:szCs w:val="24"/>
              </w:rPr>
            </w:pPr>
            <w:r w:rsidRPr="5CCBF334">
              <w:rPr>
                <w:rFonts w:ascii="Calibri" w:hAnsi="Calibri" w:eastAsia="Calibri" w:cs="Calibri"/>
                <w:sz w:val="24"/>
                <w:szCs w:val="24"/>
              </w:rPr>
              <w:t>Student Recruitment Management Group</w:t>
            </w:r>
          </w:p>
        </w:tc>
      </w:tr>
      <w:tr w:rsidR="5CCBF334" w:rsidTr="11D2447F" w14:paraId="5D075CD4" w14:textId="77777777">
        <w:trPr>
          <w:trHeight w:val="300"/>
        </w:trPr>
        <w:tc>
          <w:tcPr>
            <w:tcW w:w="3393" w:type="dxa"/>
            <w:tcBorders>
              <w:left w:val="single" w:color="auto" w:sz="6" w:space="0"/>
            </w:tcBorders>
            <w:tcMar>
              <w:left w:w="90" w:type="dxa"/>
              <w:right w:w="90" w:type="dxa"/>
            </w:tcMar>
          </w:tcPr>
          <w:p w:rsidR="5CCBF334" w:rsidP="5CCBF334" w:rsidRDefault="5CCBF334" w14:paraId="424E1A54" w14:textId="0361C469">
            <w:pPr>
              <w:widowControl w:val="0"/>
              <w:rPr>
                <w:rFonts w:ascii="Calibri" w:hAnsi="Calibri" w:eastAsia="Calibri" w:cs="Calibri"/>
                <w:sz w:val="24"/>
                <w:szCs w:val="24"/>
              </w:rPr>
            </w:pPr>
            <w:r w:rsidRPr="5CCBF334">
              <w:rPr>
                <w:rFonts w:ascii="Calibri" w:hAnsi="Calibri" w:eastAsia="Calibri" w:cs="Calibri"/>
                <w:sz w:val="24"/>
                <w:szCs w:val="24"/>
              </w:rPr>
              <w:t>Version:</w:t>
            </w:r>
          </w:p>
        </w:tc>
        <w:tc>
          <w:tcPr>
            <w:tcW w:w="5562" w:type="dxa"/>
            <w:tcBorders>
              <w:right w:val="single" w:color="auto" w:sz="6" w:space="0"/>
            </w:tcBorders>
            <w:tcMar>
              <w:left w:w="90" w:type="dxa"/>
              <w:right w:w="90" w:type="dxa"/>
            </w:tcMar>
          </w:tcPr>
          <w:p w:rsidR="5CCBF334" w:rsidP="5CCBF334" w:rsidRDefault="5CCBF334" w14:paraId="39330F97" w14:textId="4F859787">
            <w:pPr>
              <w:widowControl w:val="0"/>
              <w:rPr>
                <w:rFonts w:ascii="Calibri" w:hAnsi="Calibri" w:eastAsia="Calibri" w:cs="Calibri"/>
                <w:sz w:val="24"/>
                <w:szCs w:val="24"/>
              </w:rPr>
            </w:pPr>
            <w:r w:rsidRPr="11D2447F" w:rsidR="03B440F2">
              <w:rPr>
                <w:rFonts w:ascii="Calibri" w:hAnsi="Calibri" w:eastAsia="Calibri" w:cs="Calibri"/>
                <w:sz w:val="24"/>
                <w:szCs w:val="24"/>
              </w:rPr>
              <w:t xml:space="preserve">Version </w:t>
            </w:r>
            <w:r w:rsidRPr="11D2447F" w:rsidR="351268F0">
              <w:rPr>
                <w:rFonts w:ascii="Calibri" w:hAnsi="Calibri" w:eastAsia="Calibri" w:cs="Calibri"/>
                <w:sz w:val="24"/>
                <w:szCs w:val="24"/>
              </w:rPr>
              <w:t>3</w:t>
            </w:r>
          </w:p>
        </w:tc>
      </w:tr>
      <w:tr w:rsidR="5CCBF334" w:rsidTr="11D2447F" w14:paraId="60E8B627" w14:textId="77777777">
        <w:trPr>
          <w:trHeight w:val="300"/>
        </w:trPr>
        <w:tc>
          <w:tcPr>
            <w:tcW w:w="3393" w:type="dxa"/>
            <w:tcBorders>
              <w:left w:val="single" w:color="auto" w:sz="6" w:space="0"/>
            </w:tcBorders>
            <w:tcMar>
              <w:left w:w="90" w:type="dxa"/>
              <w:right w:w="90" w:type="dxa"/>
            </w:tcMar>
          </w:tcPr>
          <w:p w:rsidR="5CCBF334" w:rsidP="5CCBF334" w:rsidRDefault="5CCBF334" w14:paraId="1E1C9FAC" w14:textId="3085F767">
            <w:pPr>
              <w:widowControl w:val="0"/>
              <w:rPr>
                <w:rFonts w:ascii="Calibri" w:hAnsi="Calibri" w:eastAsia="Calibri" w:cs="Calibri"/>
                <w:sz w:val="24"/>
                <w:szCs w:val="24"/>
              </w:rPr>
            </w:pPr>
            <w:r w:rsidRPr="5CCBF334">
              <w:rPr>
                <w:rFonts w:ascii="Calibri" w:hAnsi="Calibri" w:eastAsia="Calibri" w:cs="Calibri"/>
                <w:sz w:val="24"/>
                <w:szCs w:val="24"/>
              </w:rPr>
              <w:t>Previous review date:</w:t>
            </w:r>
          </w:p>
        </w:tc>
        <w:tc>
          <w:tcPr>
            <w:tcW w:w="5562" w:type="dxa"/>
            <w:tcBorders>
              <w:right w:val="single" w:color="auto" w:sz="6" w:space="0"/>
            </w:tcBorders>
            <w:tcMar>
              <w:left w:w="90" w:type="dxa"/>
              <w:right w:w="90" w:type="dxa"/>
            </w:tcMar>
          </w:tcPr>
          <w:p w:rsidR="5CCBF334" w:rsidP="5CCBF334" w:rsidRDefault="5CCBF334" w14:paraId="381A631C" w14:textId="5155F1E3">
            <w:pPr>
              <w:widowControl w:val="0"/>
              <w:rPr>
                <w:rFonts w:ascii="Calibri" w:hAnsi="Calibri" w:eastAsia="Calibri" w:cs="Calibri"/>
                <w:sz w:val="24"/>
                <w:szCs w:val="24"/>
              </w:rPr>
            </w:pPr>
            <w:r w:rsidRPr="5CCBF334">
              <w:rPr>
                <w:rFonts w:ascii="Calibri" w:hAnsi="Calibri" w:eastAsia="Calibri" w:cs="Calibri"/>
                <w:sz w:val="24"/>
                <w:szCs w:val="24"/>
              </w:rPr>
              <w:t>March 2024</w:t>
            </w:r>
          </w:p>
        </w:tc>
      </w:tr>
      <w:tr w:rsidR="5CCBF334" w:rsidTr="11D2447F" w14:paraId="1F02FA73" w14:textId="77777777">
        <w:trPr>
          <w:trHeight w:val="300"/>
        </w:trPr>
        <w:tc>
          <w:tcPr>
            <w:tcW w:w="3393" w:type="dxa"/>
            <w:tcBorders>
              <w:left w:val="single" w:color="auto" w:sz="6" w:space="0"/>
            </w:tcBorders>
            <w:tcMar>
              <w:left w:w="90" w:type="dxa"/>
              <w:right w:w="90" w:type="dxa"/>
            </w:tcMar>
          </w:tcPr>
          <w:p w:rsidR="5CCBF334" w:rsidP="5CCBF334" w:rsidRDefault="5CCBF334" w14:paraId="3C34FADB" w14:textId="63DA169A">
            <w:pPr>
              <w:widowControl w:val="0"/>
              <w:rPr>
                <w:rFonts w:ascii="Calibri" w:hAnsi="Calibri" w:eastAsia="Calibri" w:cs="Calibri"/>
                <w:sz w:val="24"/>
                <w:szCs w:val="24"/>
              </w:rPr>
            </w:pPr>
            <w:r w:rsidRPr="5CCBF334">
              <w:rPr>
                <w:rFonts w:ascii="Calibri" w:hAnsi="Calibri" w:eastAsia="Calibri" w:cs="Calibri"/>
                <w:sz w:val="24"/>
                <w:szCs w:val="24"/>
              </w:rPr>
              <w:t>Next review date:</w:t>
            </w:r>
          </w:p>
        </w:tc>
        <w:tc>
          <w:tcPr>
            <w:tcW w:w="5562" w:type="dxa"/>
            <w:tcBorders>
              <w:right w:val="single" w:color="auto" w:sz="6" w:space="0"/>
            </w:tcBorders>
            <w:tcMar>
              <w:left w:w="90" w:type="dxa"/>
              <w:right w:w="90" w:type="dxa"/>
            </w:tcMar>
          </w:tcPr>
          <w:p w:rsidR="5CCBF334" w:rsidP="5CCBF334" w:rsidRDefault="5CCBF334" w14:paraId="555A0B1E" w14:textId="05AD4860">
            <w:pPr>
              <w:widowControl w:val="0"/>
              <w:rPr>
                <w:rFonts w:ascii="Calibri" w:hAnsi="Calibri" w:eastAsia="Calibri" w:cs="Calibri"/>
                <w:sz w:val="24"/>
                <w:szCs w:val="24"/>
              </w:rPr>
            </w:pPr>
            <w:r w:rsidRPr="5CCBF334">
              <w:rPr>
                <w:rFonts w:ascii="Calibri" w:hAnsi="Calibri" w:eastAsia="Calibri" w:cs="Calibri"/>
                <w:sz w:val="24"/>
                <w:szCs w:val="24"/>
              </w:rPr>
              <w:t>February 2025</w:t>
            </w:r>
          </w:p>
        </w:tc>
      </w:tr>
      <w:tr w:rsidR="5CCBF334" w:rsidTr="11D2447F" w14:paraId="23E47CCE" w14:textId="77777777">
        <w:trPr>
          <w:trHeight w:val="300"/>
        </w:trPr>
        <w:tc>
          <w:tcPr>
            <w:tcW w:w="3393" w:type="dxa"/>
            <w:tcBorders>
              <w:left w:val="single" w:color="auto" w:sz="6" w:space="0"/>
            </w:tcBorders>
            <w:tcMar>
              <w:left w:w="90" w:type="dxa"/>
              <w:right w:w="90" w:type="dxa"/>
            </w:tcMar>
          </w:tcPr>
          <w:p w:rsidR="5CCBF334" w:rsidP="5CCBF334" w:rsidRDefault="5CCBF334" w14:paraId="38CB7215" w14:textId="613DFE7A">
            <w:pPr>
              <w:widowControl w:val="0"/>
              <w:rPr>
                <w:rFonts w:ascii="Calibri" w:hAnsi="Calibri" w:eastAsia="Calibri" w:cs="Calibri"/>
                <w:sz w:val="24"/>
                <w:szCs w:val="24"/>
              </w:rPr>
            </w:pPr>
            <w:r w:rsidRPr="5CCBF334">
              <w:rPr>
                <w:rFonts w:ascii="Calibri" w:hAnsi="Calibri" w:eastAsia="Calibri" w:cs="Calibri"/>
                <w:sz w:val="24"/>
                <w:szCs w:val="24"/>
              </w:rPr>
              <w:t>Related Policies:</w:t>
            </w:r>
          </w:p>
        </w:tc>
        <w:tc>
          <w:tcPr>
            <w:tcW w:w="5562" w:type="dxa"/>
            <w:tcBorders>
              <w:right w:val="single" w:color="auto" w:sz="6" w:space="0"/>
            </w:tcBorders>
            <w:tcMar>
              <w:left w:w="90" w:type="dxa"/>
              <w:right w:w="90" w:type="dxa"/>
            </w:tcMar>
          </w:tcPr>
          <w:p w:rsidR="5CCBF334" w:rsidP="5CCBF334" w:rsidRDefault="5CCBF334" w14:paraId="409D32B8" w14:textId="4582EE1E">
            <w:pPr>
              <w:widowControl w:val="0"/>
              <w:tabs>
                <w:tab w:val="left" w:pos="685"/>
                <w:tab w:val="left" w:pos="686"/>
              </w:tabs>
              <w:spacing w:before="1"/>
              <w:ind w:right="227"/>
              <w:jc w:val="both"/>
              <w:rPr>
                <w:rFonts w:ascii="Calibri" w:hAnsi="Calibri" w:eastAsia="Calibri" w:cs="Calibri"/>
                <w:sz w:val="24"/>
                <w:szCs w:val="24"/>
              </w:rPr>
            </w:pPr>
            <w:r w:rsidRPr="5CCBF334">
              <w:rPr>
                <w:rFonts w:ascii="Calibri" w:hAnsi="Calibri" w:eastAsia="Calibri" w:cs="Calibri"/>
                <w:sz w:val="24"/>
                <w:szCs w:val="24"/>
              </w:rPr>
              <w:t>Admissions Policy</w:t>
            </w:r>
          </w:p>
          <w:p w:rsidR="5CCBF334" w:rsidP="5CCBF334" w:rsidRDefault="5CCBF334" w14:paraId="7DDF46ED" w14:textId="34326456">
            <w:pPr>
              <w:keepLines/>
              <w:widowControl w:val="0"/>
              <w:tabs>
                <w:tab w:val="left" w:pos="685"/>
                <w:tab w:val="left" w:pos="686"/>
              </w:tabs>
              <w:spacing w:before="1"/>
              <w:jc w:val="both"/>
              <w:rPr>
                <w:rFonts w:ascii="Calibri" w:hAnsi="Calibri" w:eastAsia="Calibri" w:cs="Calibri"/>
                <w:sz w:val="24"/>
                <w:szCs w:val="24"/>
              </w:rPr>
            </w:pPr>
            <w:r w:rsidRPr="5CCBF334">
              <w:rPr>
                <w:rFonts w:ascii="Calibri" w:hAnsi="Calibri" w:eastAsia="Calibri" w:cs="Calibri"/>
                <w:sz w:val="24"/>
                <w:szCs w:val="24"/>
              </w:rPr>
              <w:t>English Language Policy</w:t>
            </w:r>
          </w:p>
        </w:tc>
      </w:tr>
      <w:tr w:rsidR="5CCBF334" w:rsidTr="11D2447F" w14:paraId="6556D981" w14:textId="77777777">
        <w:trPr>
          <w:trHeight w:val="300"/>
        </w:trPr>
        <w:tc>
          <w:tcPr>
            <w:tcW w:w="3393" w:type="dxa"/>
            <w:tcBorders>
              <w:left w:val="single" w:color="auto" w:sz="6" w:space="0"/>
            </w:tcBorders>
            <w:tcMar>
              <w:left w:w="90" w:type="dxa"/>
              <w:right w:w="90" w:type="dxa"/>
            </w:tcMar>
          </w:tcPr>
          <w:p w:rsidR="5CCBF334" w:rsidP="5CCBF334" w:rsidRDefault="5CCBF334" w14:paraId="3300E2F5" w14:textId="7DE211E0">
            <w:pPr>
              <w:widowControl w:val="0"/>
              <w:rPr>
                <w:rFonts w:ascii="Calibri" w:hAnsi="Calibri" w:eastAsia="Calibri" w:cs="Calibri"/>
                <w:sz w:val="24"/>
                <w:szCs w:val="24"/>
              </w:rPr>
            </w:pPr>
            <w:r w:rsidRPr="5CCBF334">
              <w:rPr>
                <w:rFonts w:ascii="Calibri" w:hAnsi="Calibri" w:eastAsia="Calibri" w:cs="Calibri"/>
                <w:sz w:val="24"/>
                <w:szCs w:val="24"/>
              </w:rPr>
              <w:t>Related Procedure and Guidance:</w:t>
            </w:r>
          </w:p>
        </w:tc>
        <w:tc>
          <w:tcPr>
            <w:tcW w:w="5562" w:type="dxa"/>
            <w:tcBorders>
              <w:right w:val="single" w:color="auto" w:sz="6" w:space="0"/>
            </w:tcBorders>
            <w:tcMar>
              <w:left w:w="90" w:type="dxa"/>
              <w:right w:w="90" w:type="dxa"/>
            </w:tcMar>
          </w:tcPr>
          <w:p w:rsidR="5CCBF334" w:rsidP="5CCBF334" w:rsidRDefault="5CCBF334" w14:paraId="1B33FC24" w14:textId="4239B77F">
            <w:pPr>
              <w:widowControl w:val="0"/>
              <w:tabs>
                <w:tab w:val="left" w:pos="685"/>
                <w:tab w:val="left" w:pos="686"/>
              </w:tabs>
              <w:spacing w:before="1"/>
              <w:ind w:right="227"/>
              <w:jc w:val="both"/>
              <w:rPr>
                <w:rFonts w:ascii="Calibri" w:hAnsi="Calibri" w:eastAsia="Calibri" w:cs="Calibri"/>
                <w:sz w:val="24"/>
                <w:szCs w:val="24"/>
              </w:rPr>
            </w:pPr>
            <w:r w:rsidRPr="5CCBF334">
              <w:rPr>
                <w:rFonts w:ascii="Calibri" w:hAnsi="Calibri" w:eastAsia="Calibri" w:cs="Calibri"/>
                <w:sz w:val="24"/>
                <w:szCs w:val="24"/>
              </w:rPr>
              <w:t>Criminal Convictions Policy and Procedure</w:t>
            </w:r>
          </w:p>
          <w:p w:rsidR="5CCBF334" w:rsidP="5CCBF334" w:rsidRDefault="5CCBF334" w14:paraId="13B87639" w14:textId="4601E26D">
            <w:pPr>
              <w:widowControl w:val="0"/>
              <w:tabs>
                <w:tab w:val="left" w:pos="685"/>
                <w:tab w:val="left" w:pos="686"/>
              </w:tabs>
              <w:spacing w:before="1"/>
              <w:ind w:right="227"/>
              <w:jc w:val="both"/>
              <w:rPr>
                <w:rFonts w:ascii="Calibri" w:hAnsi="Calibri" w:eastAsia="Calibri" w:cs="Calibri"/>
                <w:sz w:val="24"/>
                <w:szCs w:val="24"/>
              </w:rPr>
            </w:pPr>
            <w:r w:rsidRPr="5CCBF334">
              <w:rPr>
                <w:rFonts w:ascii="Calibri" w:hAnsi="Calibri" w:eastAsia="Calibri" w:cs="Calibri"/>
                <w:sz w:val="24"/>
                <w:szCs w:val="24"/>
              </w:rPr>
              <w:t>Under 18s Policy and Procedure</w:t>
            </w:r>
          </w:p>
          <w:p w:rsidR="5CCBF334" w:rsidP="5CCBF334" w:rsidRDefault="5CCBF334" w14:paraId="1E96CEE1" w14:textId="274F7AE7">
            <w:pPr>
              <w:widowControl w:val="0"/>
              <w:rPr>
                <w:rFonts w:ascii="Calibri" w:hAnsi="Calibri" w:eastAsia="Calibri" w:cs="Calibri"/>
                <w:sz w:val="24"/>
                <w:szCs w:val="24"/>
              </w:rPr>
            </w:pPr>
            <w:r w:rsidRPr="5CCBF334">
              <w:rPr>
                <w:rFonts w:ascii="Calibri" w:hAnsi="Calibri" w:eastAsia="Calibri" w:cs="Calibri"/>
                <w:color w:val="000000" w:themeColor="text1"/>
                <w:sz w:val="24"/>
                <w:szCs w:val="24"/>
              </w:rPr>
              <w:t>Admissions Appeals and Complaints Procedure</w:t>
            </w:r>
          </w:p>
          <w:p w:rsidR="5CCBF334" w:rsidP="5CCBF334" w:rsidRDefault="5CCBF334" w14:paraId="227B6C3E" w14:textId="16D63A01">
            <w:pPr>
              <w:widowControl w:val="0"/>
              <w:tabs>
                <w:tab w:val="left" w:pos="685"/>
                <w:tab w:val="left" w:pos="686"/>
              </w:tabs>
              <w:spacing w:before="1"/>
              <w:ind w:right="227"/>
              <w:jc w:val="both"/>
              <w:rPr>
                <w:rFonts w:ascii="Calibri" w:hAnsi="Calibri" w:eastAsia="Calibri" w:cs="Calibri"/>
                <w:sz w:val="24"/>
                <w:szCs w:val="24"/>
              </w:rPr>
            </w:pPr>
            <w:r w:rsidRPr="5CCBF334">
              <w:rPr>
                <w:rFonts w:ascii="Calibri" w:hAnsi="Calibri" w:eastAsia="Calibri" w:cs="Calibri"/>
                <w:sz w:val="24"/>
                <w:szCs w:val="24"/>
              </w:rPr>
              <w:t>Good Practice Applicant Feedback Procedure</w:t>
            </w:r>
          </w:p>
          <w:p w:rsidR="5CCBF334" w:rsidP="5CCBF334" w:rsidRDefault="5CCBF334" w14:paraId="6FE7E121" w14:textId="55C50F19">
            <w:pPr>
              <w:widowControl w:val="0"/>
              <w:rPr>
                <w:rFonts w:ascii="Calibri" w:hAnsi="Calibri" w:eastAsia="Calibri" w:cs="Calibri"/>
                <w:color w:val="000000" w:themeColor="text1"/>
                <w:sz w:val="24"/>
                <w:szCs w:val="24"/>
              </w:rPr>
            </w:pPr>
            <w:r w:rsidRPr="5CCBF334">
              <w:rPr>
                <w:rFonts w:ascii="Calibri" w:hAnsi="Calibri" w:eastAsia="Calibri" w:cs="Calibri"/>
                <w:color w:val="000000" w:themeColor="text1"/>
                <w:sz w:val="24"/>
                <w:szCs w:val="24"/>
              </w:rPr>
              <w:t xml:space="preserve">Admissions Fraud Procedure: detection, reporting and response </w:t>
            </w:r>
          </w:p>
        </w:tc>
      </w:tr>
      <w:tr w:rsidR="5CCBF334" w:rsidTr="11D2447F" w14:paraId="76656FCD" w14:textId="77777777">
        <w:trPr>
          <w:trHeight w:val="300"/>
        </w:trPr>
        <w:tc>
          <w:tcPr>
            <w:tcW w:w="3393" w:type="dxa"/>
            <w:tcBorders>
              <w:left w:val="single" w:color="auto" w:sz="6" w:space="0"/>
              <w:bottom w:val="single" w:color="auto" w:sz="6" w:space="0"/>
            </w:tcBorders>
            <w:tcMar>
              <w:left w:w="90" w:type="dxa"/>
              <w:right w:w="90" w:type="dxa"/>
            </w:tcMar>
          </w:tcPr>
          <w:p w:rsidR="5CCBF334" w:rsidP="5CCBF334" w:rsidRDefault="5CCBF334" w14:paraId="7ED518B3" w14:textId="64DDF30B">
            <w:pPr>
              <w:widowControl w:val="0"/>
              <w:rPr>
                <w:rFonts w:ascii="Calibri" w:hAnsi="Calibri" w:eastAsia="Calibri" w:cs="Calibri"/>
                <w:sz w:val="24"/>
                <w:szCs w:val="24"/>
              </w:rPr>
            </w:pPr>
            <w:r w:rsidRPr="5CCBF334">
              <w:rPr>
                <w:rFonts w:ascii="Calibri" w:hAnsi="Calibri" w:eastAsia="Calibri" w:cs="Calibri"/>
                <w:sz w:val="24"/>
                <w:szCs w:val="24"/>
              </w:rPr>
              <w:t>Lead contact:</w:t>
            </w:r>
          </w:p>
        </w:tc>
        <w:tc>
          <w:tcPr>
            <w:tcW w:w="5562" w:type="dxa"/>
            <w:tcBorders>
              <w:bottom w:val="single" w:color="auto" w:sz="6" w:space="0"/>
              <w:right w:val="single" w:color="auto" w:sz="6" w:space="0"/>
            </w:tcBorders>
            <w:tcMar>
              <w:left w:w="90" w:type="dxa"/>
              <w:right w:w="90" w:type="dxa"/>
            </w:tcMar>
          </w:tcPr>
          <w:p w:rsidR="5CCBF334" w:rsidP="5CCBF334" w:rsidRDefault="5CCBF334" w14:paraId="018B87A4" w14:textId="51FB9D92">
            <w:pPr>
              <w:widowControl w:val="0"/>
              <w:spacing w:line="259" w:lineRule="auto"/>
              <w:rPr>
                <w:rFonts w:ascii="Calibri" w:hAnsi="Calibri" w:eastAsia="Calibri" w:cs="Calibri"/>
                <w:sz w:val="24"/>
                <w:szCs w:val="24"/>
              </w:rPr>
            </w:pPr>
            <w:r w:rsidRPr="5CCBF334">
              <w:rPr>
                <w:rFonts w:ascii="Calibri" w:hAnsi="Calibri" w:eastAsia="Calibri" w:cs="Calibri"/>
                <w:sz w:val="24"/>
                <w:szCs w:val="24"/>
              </w:rPr>
              <w:t>Annie Shuker, Deputy Director Recruitment and Admissions</w:t>
            </w:r>
          </w:p>
        </w:tc>
      </w:tr>
    </w:tbl>
    <w:p w:rsidR="6C397688" w:rsidP="5CCBF334" w:rsidRDefault="6C397688" w14:paraId="43E837F4" w14:textId="733CC747">
      <w:pPr>
        <w:spacing w:after="0" w:line="259" w:lineRule="auto"/>
        <w:ind w:left="0" w:firstLine="0"/>
        <w:jc w:val="both"/>
        <w:rPr>
          <w:rFonts w:eastAsia="Calibri" w:asciiTheme="minorHAnsi" w:hAnsiTheme="minorHAnsi" w:cstheme="minorBidi"/>
          <w:sz w:val="24"/>
          <w:szCs w:val="24"/>
        </w:rPr>
      </w:pPr>
    </w:p>
    <w:p w:rsidR="6C397688" w:rsidP="5CCBF334" w:rsidRDefault="6C397688" w14:paraId="6F3C62EC" w14:textId="4402ACE9">
      <w:pPr>
        <w:spacing w:after="0" w:line="259" w:lineRule="auto"/>
        <w:ind w:left="0" w:firstLine="0"/>
        <w:jc w:val="both"/>
        <w:rPr>
          <w:rFonts w:eastAsia="Calibri" w:asciiTheme="minorHAnsi" w:hAnsiTheme="minorHAnsi" w:cstheme="minorBidi"/>
          <w:sz w:val="24"/>
          <w:szCs w:val="24"/>
        </w:rPr>
      </w:pPr>
    </w:p>
    <w:p w:rsidR="6C397688" w:rsidP="5CCBF334" w:rsidRDefault="6C397688" w14:paraId="1DC73A21" w14:textId="57D24F22">
      <w:pPr>
        <w:spacing w:after="0" w:line="259" w:lineRule="auto"/>
        <w:ind w:left="0" w:firstLine="0"/>
        <w:jc w:val="both"/>
        <w:rPr>
          <w:rFonts w:asciiTheme="minorHAnsi" w:hAnsiTheme="minorHAnsi" w:eastAsiaTheme="minorEastAsia" w:cstheme="minorBidi"/>
          <w:sz w:val="24"/>
          <w:szCs w:val="24"/>
        </w:rPr>
      </w:pPr>
    </w:p>
    <w:sectPr w:rsidR="6C397688" w:rsidSect="00F578F2">
      <w:pgSz w:w="11904" w:h="16840" w:orient="portrait"/>
      <w:pgMar w:top="907" w:right="1503" w:bottom="9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14F4"/>
    <w:multiLevelType w:val="hybridMultilevel"/>
    <w:tmpl w:val="76BEF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756EB"/>
    <w:multiLevelType w:val="multilevel"/>
    <w:tmpl w:val="9BAE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D6E10"/>
    <w:multiLevelType w:val="hybridMultilevel"/>
    <w:tmpl w:val="51C8D7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559603">
    <w:abstractNumId w:val="1"/>
  </w:num>
  <w:num w:numId="2" w16cid:durableId="468864576">
    <w:abstractNumId w:val="0"/>
  </w:num>
  <w:num w:numId="3" w16cid:durableId="45903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A4"/>
    <w:rsid w:val="0016E626"/>
    <w:rsid w:val="001F1222"/>
    <w:rsid w:val="00222BA5"/>
    <w:rsid w:val="002B424B"/>
    <w:rsid w:val="002D4B5B"/>
    <w:rsid w:val="002F2939"/>
    <w:rsid w:val="003210EE"/>
    <w:rsid w:val="00423245"/>
    <w:rsid w:val="004F40C7"/>
    <w:rsid w:val="004F49F3"/>
    <w:rsid w:val="00500A04"/>
    <w:rsid w:val="005B23FA"/>
    <w:rsid w:val="005C5164"/>
    <w:rsid w:val="006C66C5"/>
    <w:rsid w:val="006D2C1C"/>
    <w:rsid w:val="006D4C80"/>
    <w:rsid w:val="006E2633"/>
    <w:rsid w:val="006F1DF5"/>
    <w:rsid w:val="00795FEF"/>
    <w:rsid w:val="009033A4"/>
    <w:rsid w:val="0099617D"/>
    <w:rsid w:val="00A84499"/>
    <w:rsid w:val="00AF44AD"/>
    <w:rsid w:val="00C06884"/>
    <w:rsid w:val="00C73267"/>
    <w:rsid w:val="00C86855"/>
    <w:rsid w:val="00D015AA"/>
    <w:rsid w:val="00D130BC"/>
    <w:rsid w:val="00E10B7A"/>
    <w:rsid w:val="00E86F0A"/>
    <w:rsid w:val="00EB5594"/>
    <w:rsid w:val="00EC25AB"/>
    <w:rsid w:val="00F16D01"/>
    <w:rsid w:val="00F578F2"/>
    <w:rsid w:val="02A51CDC"/>
    <w:rsid w:val="02F51D9B"/>
    <w:rsid w:val="02F5E6E9"/>
    <w:rsid w:val="03B440F2"/>
    <w:rsid w:val="0F8B8C90"/>
    <w:rsid w:val="0FC1CDE4"/>
    <w:rsid w:val="105AC785"/>
    <w:rsid w:val="11D2447F"/>
    <w:rsid w:val="1278B0A0"/>
    <w:rsid w:val="16CDBCE6"/>
    <w:rsid w:val="19E53AF3"/>
    <w:rsid w:val="1ABCA88B"/>
    <w:rsid w:val="21259DFA"/>
    <w:rsid w:val="21A2356F"/>
    <w:rsid w:val="21AD6995"/>
    <w:rsid w:val="22A80FBD"/>
    <w:rsid w:val="2439877C"/>
    <w:rsid w:val="2880CCC7"/>
    <w:rsid w:val="28E59DDD"/>
    <w:rsid w:val="2D3F7DC0"/>
    <w:rsid w:val="31529875"/>
    <w:rsid w:val="34CAA861"/>
    <w:rsid w:val="351268F0"/>
    <w:rsid w:val="3B9F7D76"/>
    <w:rsid w:val="3D65A2D2"/>
    <w:rsid w:val="3F34B0C6"/>
    <w:rsid w:val="43F2059B"/>
    <w:rsid w:val="4436629F"/>
    <w:rsid w:val="448413C3"/>
    <w:rsid w:val="463EE43F"/>
    <w:rsid w:val="464A9E6F"/>
    <w:rsid w:val="4CA79D4F"/>
    <w:rsid w:val="4D79D8B7"/>
    <w:rsid w:val="4DA1508A"/>
    <w:rsid w:val="4E56F8AA"/>
    <w:rsid w:val="4FF39005"/>
    <w:rsid w:val="529B84BC"/>
    <w:rsid w:val="57C076C9"/>
    <w:rsid w:val="5A861471"/>
    <w:rsid w:val="5AD84A5C"/>
    <w:rsid w:val="5CCBF334"/>
    <w:rsid w:val="609B736F"/>
    <w:rsid w:val="626A2E51"/>
    <w:rsid w:val="66905EF4"/>
    <w:rsid w:val="676BE720"/>
    <w:rsid w:val="67815C0F"/>
    <w:rsid w:val="67C91BB3"/>
    <w:rsid w:val="69E02CB8"/>
    <w:rsid w:val="6C397688"/>
    <w:rsid w:val="6F2975B9"/>
    <w:rsid w:val="76610275"/>
    <w:rsid w:val="76B1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60B8"/>
  <w15:docId w15:val="{97F8DA32-81F8-47CA-8BB9-99CCD15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49" w:lineRule="auto"/>
      <w:ind w:left="10" w:hanging="10"/>
    </w:pPr>
    <w:rPr>
      <w:rFonts w:ascii="Arial" w:hAnsi="Arial" w:eastAsia="Arial" w:cs="Arial"/>
      <w:color w:val="000000"/>
      <w:sz w:val="21"/>
    </w:rPr>
  </w:style>
  <w:style w:type="paragraph" w:styleId="Heading1">
    <w:name w:val="heading 1"/>
    <w:next w:val="Normal"/>
    <w:link w:val="Heading1Char"/>
    <w:uiPriority w:val="9"/>
    <w:qFormat/>
    <w:pPr>
      <w:keepNext/>
      <w:keepLines/>
      <w:spacing w:after="0"/>
      <w:ind w:left="370" w:hanging="10"/>
      <w:outlineLvl w:val="0"/>
    </w:pPr>
    <w:rPr>
      <w:rFonts w:ascii="Arial" w:hAnsi="Arial" w:eastAsia="Arial" w:cs="Arial"/>
      <w:b/>
      <w:color w:val="000000"/>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1"/>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2B424B"/>
    <w:rPr>
      <w:sz w:val="16"/>
      <w:szCs w:val="16"/>
    </w:rPr>
  </w:style>
  <w:style w:type="paragraph" w:styleId="CommentText">
    <w:name w:val="annotation text"/>
    <w:basedOn w:val="Normal"/>
    <w:link w:val="CommentTextChar"/>
    <w:uiPriority w:val="99"/>
    <w:unhideWhenUsed/>
    <w:rsid w:val="002B424B"/>
    <w:pPr>
      <w:spacing w:line="240" w:lineRule="auto"/>
    </w:pPr>
    <w:rPr>
      <w:sz w:val="20"/>
      <w:szCs w:val="20"/>
    </w:rPr>
  </w:style>
  <w:style w:type="character" w:styleId="CommentTextChar" w:customStyle="1">
    <w:name w:val="Comment Text Char"/>
    <w:basedOn w:val="DefaultParagraphFont"/>
    <w:link w:val="CommentText"/>
    <w:uiPriority w:val="99"/>
    <w:rsid w:val="002B424B"/>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2B424B"/>
    <w:rPr>
      <w:b/>
      <w:bCs/>
    </w:rPr>
  </w:style>
  <w:style w:type="character" w:styleId="CommentSubjectChar" w:customStyle="1">
    <w:name w:val="Comment Subject Char"/>
    <w:basedOn w:val="CommentTextChar"/>
    <w:link w:val="CommentSubject"/>
    <w:uiPriority w:val="99"/>
    <w:semiHidden/>
    <w:rsid w:val="002B424B"/>
    <w:rPr>
      <w:rFonts w:ascii="Arial" w:hAnsi="Arial" w:eastAsia="Arial" w:cs="Arial"/>
      <w:b/>
      <w:bCs/>
      <w:color w:val="000000"/>
      <w:sz w:val="20"/>
      <w:szCs w:val="20"/>
    </w:rPr>
  </w:style>
  <w:style w:type="paragraph" w:styleId="paragraph" w:customStyle="1">
    <w:name w:val="paragraph"/>
    <w:basedOn w:val="Normal"/>
    <w:rsid w:val="00795FEF"/>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795FEF"/>
  </w:style>
  <w:style w:type="character" w:styleId="eop" w:customStyle="1">
    <w:name w:val="eop"/>
    <w:basedOn w:val="DefaultParagraphFont"/>
    <w:rsid w:val="00795FEF"/>
  </w:style>
  <w:style w:type="paragraph" w:styleId="ListParagraph">
    <w:name w:val="List Paragraph"/>
    <w:basedOn w:val="Normal"/>
    <w:uiPriority w:val="34"/>
    <w:qFormat/>
    <w:rsid w:val="00EB5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932295">
      <w:bodyDiv w:val="1"/>
      <w:marLeft w:val="0"/>
      <w:marRight w:val="0"/>
      <w:marTop w:val="0"/>
      <w:marBottom w:val="0"/>
      <w:divBdr>
        <w:top w:val="none" w:sz="0" w:space="0" w:color="auto"/>
        <w:left w:val="none" w:sz="0" w:space="0" w:color="auto"/>
        <w:bottom w:val="none" w:sz="0" w:space="0" w:color="auto"/>
        <w:right w:val="none" w:sz="0" w:space="0" w:color="auto"/>
      </w:divBdr>
      <w:divsChild>
        <w:div w:id="805506435">
          <w:marLeft w:val="0"/>
          <w:marRight w:val="0"/>
          <w:marTop w:val="0"/>
          <w:marBottom w:val="0"/>
          <w:divBdr>
            <w:top w:val="none" w:sz="0" w:space="0" w:color="auto"/>
            <w:left w:val="none" w:sz="0" w:space="0" w:color="auto"/>
            <w:bottom w:val="none" w:sz="0" w:space="0" w:color="auto"/>
            <w:right w:val="none" w:sz="0" w:space="0" w:color="auto"/>
          </w:divBdr>
          <w:divsChild>
            <w:div w:id="1721708420">
              <w:marLeft w:val="0"/>
              <w:marRight w:val="0"/>
              <w:marTop w:val="0"/>
              <w:marBottom w:val="0"/>
              <w:divBdr>
                <w:top w:val="none" w:sz="0" w:space="0" w:color="auto"/>
                <w:left w:val="none" w:sz="0" w:space="0" w:color="auto"/>
                <w:bottom w:val="none" w:sz="0" w:space="0" w:color="auto"/>
                <w:right w:val="none" w:sz="0" w:space="0" w:color="auto"/>
              </w:divBdr>
            </w:div>
            <w:div w:id="1975212501">
              <w:marLeft w:val="0"/>
              <w:marRight w:val="0"/>
              <w:marTop w:val="0"/>
              <w:marBottom w:val="0"/>
              <w:divBdr>
                <w:top w:val="none" w:sz="0" w:space="0" w:color="auto"/>
                <w:left w:val="none" w:sz="0" w:space="0" w:color="auto"/>
                <w:bottom w:val="none" w:sz="0" w:space="0" w:color="auto"/>
                <w:right w:val="none" w:sz="0" w:space="0" w:color="auto"/>
              </w:divBdr>
            </w:div>
            <w:div w:id="1401906731">
              <w:marLeft w:val="0"/>
              <w:marRight w:val="0"/>
              <w:marTop w:val="0"/>
              <w:marBottom w:val="0"/>
              <w:divBdr>
                <w:top w:val="none" w:sz="0" w:space="0" w:color="auto"/>
                <w:left w:val="none" w:sz="0" w:space="0" w:color="auto"/>
                <w:bottom w:val="none" w:sz="0" w:space="0" w:color="auto"/>
                <w:right w:val="none" w:sz="0" w:space="0" w:color="auto"/>
              </w:divBdr>
            </w:div>
          </w:divsChild>
        </w:div>
        <w:div w:id="2011522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pg-admissions@newcastle.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125D3CF14494CB89A9581FFA90621" ma:contentTypeVersion="8" ma:contentTypeDescription="Create a new document." ma:contentTypeScope="" ma:versionID="ddb9ccb4260a3982421f70319e6e46b4">
  <xsd:schema xmlns:xsd="http://www.w3.org/2001/XMLSchema" xmlns:xs="http://www.w3.org/2001/XMLSchema" xmlns:p="http://schemas.microsoft.com/office/2006/metadata/properties" xmlns:ns2="aab19eb7-abcd-49b9-a9b7-cf7c7c020998" xmlns:ns3="38c03e09-1012-4afd-acba-88dae2f968bf" targetNamespace="http://schemas.microsoft.com/office/2006/metadata/properties" ma:root="true" ma:fieldsID="3d6b4060c6654db4dc850b1cf67f2fd0" ns2:_="" ns3:_="">
    <xsd:import namespace="aab19eb7-abcd-49b9-a9b7-cf7c7c020998"/>
    <xsd:import namespace="38c03e09-1012-4afd-acba-88dae2f96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9eb7-abcd-49b9-a9b7-cf7c7c020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03e09-1012-4afd-acba-88dae2f968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8c03e09-1012-4afd-acba-88dae2f968bf">
      <UserInfo>
        <DisplayName/>
        <AccountId xsi:nil="true"/>
        <AccountType/>
      </UserInfo>
    </SharedWithUsers>
  </documentManagement>
</p:properties>
</file>

<file path=customXml/itemProps1.xml><?xml version="1.0" encoding="utf-8"?>
<ds:datastoreItem xmlns:ds="http://schemas.openxmlformats.org/officeDocument/2006/customXml" ds:itemID="{639D18D1-6D06-4982-8401-87938127A78D}">
  <ds:schemaRefs>
    <ds:schemaRef ds:uri="http://schemas.microsoft.com/sharepoint/v3/contenttype/forms"/>
  </ds:schemaRefs>
</ds:datastoreItem>
</file>

<file path=customXml/itemProps2.xml><?xml version="1.0" encoding="utf-8"?>
<ds:datastoreItem xmlns:ds="http://schemas.openxmlformats.org/officeDocument/2006/customXml" ds:itemID="{A437575B-5814-44A2-B646-D621BA85E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9eb7-abcd-49b9-a9b7-cf7c7c020998"/>
    <ds:schemaRef ds:uri="38c03e09-1012-4afd-acba-88dae2f96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2F566-31F5-4528-BCA5-BE53E10B1763}">
  <ds:schemaRefs>
    <ds:schemaRef ds:uri="http://schemas.microsoft.com/office/2006/metadata/properties"/>
    <ds:schemaRef ds:uri="http://schemas.microsoft.com/office/infopath/2007/PartnerControls"/>
    <ds:schemaRef ds:uri="38c03e09-1012-4afd-acba-88dae2f968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PG Applicant Deposit Refund Policy - May 2017</dc:title>
  <dc:subject/>
  <dc:creator>nls67</dc:creator>
  <keywords/>
  <lastModifiedBy>Annie Shuker</lastModifiedBy>
  <revision>14</revision>
  <dcterms:created xsi:type="dcterms:W3CDTF">2023-12-13T17:18:00.0000000Z</dcterms:created>
  <dcterms:modified xsi:type="dcterms:W3CDTF">2025-02-11T09:13:37.0208557Z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0x0101004B3125D3CF14494CB89A9581FFA90621</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